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90ED" w14:textId="77777777" w:rsidR="00CB4C1B" w:rsidRPr="00B80BDB" w:rsidRDefault="00CB4C1B">
      <w:pPr>
        <w:widowControl w:val="0"/>
        <w:rPr>
          <w:rFonts w:asciiTheme="majorHAnsi" w:hAnsiTheme="majorHAnsi" w:cstheme="majorHAnsi"/>
          <w:sz w:val="20"/>
          <w:szCs w:val="20"/>
        </w:rPr>
      </w:pPr>
    </w:p>
    <w:tbl>
      <w:tblPr>
        <w:tblStyle w:val="a"/>
        <w:tblW w:w="14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1620"/>
        <w:gridCol w:w="1620"/>
        <w:gridCol w:w="1620"/>
        <w:gridCol w:w="4158"/>
      </w:tblGrid>
      <w:tr w:rsidR="00B80BDB" w:rsidRPr="00B80BDB" w14:paraId="23163C38" w14:textId="77777777" w:rsidTr="00B45858">
        <w:trPr>
          <w:trHeight w:val="540"/>
        </w:trPr>
        <w:tc>
          <w:tcPr>
            <w:tcW w:w="5845" w:type="dxa"/>
            <w:vAlign w:val="center"/>
          </w:tcPr>
          <w:p w14:paraId="37207392" w14:textId="4AA2D5BC" w:rsidR="00CB4C1B" w:rsidRPr="00B80BDB" w:rsidRDefault="00B45858" w:rsidP="00952C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CourseSource</w:t>
            </w:r>
            <w:r w:rsidRPr="00B80B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Teaching Tools and Strategies Rubric</w:t>
            </w:r>
          </w:p>
        </w:tc>
        <w:tc>
          <w:tcPr>
            <w:tcW w:w="1620" w:type="dxa"/>
            <w:vAlign w:val="center"/>
          </w:tcPr>
          <w:p w14:paraId="72FE669B" w14:textId="77777777" w:rsidR="00CB4C1B" w:rsidRPr="00B80BDB" w:rsidRDefault="00B458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sz w:val="20"/>
                <w:szCs w:val="20"/>
              </w:rPr>
              <w:t>Acceptable</w:t>
            </w:r>
          </w:p>
        </w:tc>
        <w:tc>
          <w:tcPr>
            <w:tcW w:w="1620" w:type="dxa"/>
            <w:vAlign w:val="center"/>
          </w:tcPr>
          <w:p w14:paraId="24B32C7D" w14:textId="77777777" w:rsidR="00CB4C1B" w:rsidRPr="00B80BDB" w:rsidRDefault="00B458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sz w:val="20"/>
                <w:szCs w:val="20"/>
              </w:rPr>
              <w:t>Minor Modifications</w:t>
            </w:r>
          </w:p>
        </w:tc>
        <w:tc>
          <w:tcPr>
            <w:tcW w:w="1620" w:type="dxa"/>
            <w:vAlign w:val="center"/>
          </w:tcPr>
          <w:p w14:paraId="08BE8BB5" w14:textId="77777777" w:rsidR="00CB4C1B" w:rsidRPr="00B80BDB" w:rsidRDefault="00B458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sz w:val="20"/>
                <w:szCs w:val="20"/>
              </w:rPr>
              <w:t>Major Modifications</w:t>
            </w:r>
          </w:p>
        </w:tc>
        <w:tc>
          <w:tcPr>
            <w:tcW w:w="4158" w:type="dxa"/>
            <w:vAlign w:val="center"/>
          </w:tcPr>
          <w:p w14:paraId="11025F7F" w14:textId="77777777" w:rsidR="00CB4C1B" w:rsidRPr="00B80BDB" w:rsidRDefault="00B4585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</w:tr>
      <w:tr w:rsidR="00B80BDB" w:rsidRPr="00B80BDB" w14:paraId="4DDB62A4" w14:textId="77777777" w:rsidTr="00952C2E">
        <w:tc>
          <w:tcPr>
            <w:tcW w:w="14863" w:type="dxa"/>
            <w:gridSpan w:val="5"/>
            <w:shd w:val="clear" w:color="auto" w:fill="D9D9D9" w:themeFill="background1" w:themeFillShade="D9"/>
            <w:vAlign w:val="center"/>
          </w:tcPr>
          <w:p w14:paraId="2710E2D9" w14:textId="37890E1D" w:rsidR="00CB4C1B" w:rsidRPr="00B80BDB" w:rsidRDefault="00952C2E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Main Text</w:t>
            </w:r>
          </w:p>
        </w:tc>
      </w:tr>
      <w:tr w:rsidR="00B80BDB" w:rsidRPr="00B80BDB" w14:paraId="032133EA" w14:textId="77777777" w:rsidTr="00B45858">
        <w:tc>
          <w:tcPr>
            <w:tcW w:w="5845" w:type="dxa"/>
            <w:vAlign w:val="center"/>
          </w:tcPr>
          <w:p w14:paraId="7464162D" w14:textId="77777777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 xml:space="preserve">The Teaching Tools and Strategies article is relevant for </w:t>
            </w:r>
            <w:r w:rsidRPr="00B80BDB">
              <w:rPr>
                <w:rFonts w:asciiTheme="majorHAnsi" w:hAnsiTheme="majorHAnsi" w:cstheme="majorHAnsi"/>
                <w:i/>
                <w:sz w:val="20"/>
                <w:szCs w:val="20"/>
              </w:rPr>
              <w:t>CourseSource</w:t>
            </w: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14:paraId="3EB3AC11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DCDB6D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DA9081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17E68FA4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5261B532" w14:textId="77777777" w:rsidTr="00B45858">
        <w:tc>
          <w:tcPr>
            <w:tcW w:w="5845" w:type="dxa"/>
            <w:vAlign w:val="center"/>
          </w:tcPr>
          <w:p w14:paraId="2BD1475D" w14:textId="79FF821F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Sufficient background information is provided to allow the reader to evaluate the usefulness of the Teaching Tools and Strategies without referrin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>g to extensive outside sources.</w:t>
            </w:r>
          </w:p>
        </w:tc>
        <w:tc>
          <w:tcPr>
            <w:tcW w:w="1620" w:type="dxa"/>
            <w:vAlign w:val="center"/>
          </w:tcPr>
          <w:p w14:paraId="16AB8CD6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46B440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7DD22C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3AF48A12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39D12DC6" w14:textId="77777777" w:rsidTr="00B45858">
        <w:tc>
          <w:tcPr>
            <w:tcW w:w="5845" w:type="dxa"/>
            <w:vAlign w:val="center"/>
          </w:tcPr>
          <w:p w14:paraId="09712525" w14:textId="7646F075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The article includes background information along with references to similar teaching tools, if they exist (</w:t>
            </w:r>
            <w:r w:rsidRPr="00B80BDB">
              <w:rPr>
                <w:rFonts w:asciiTheme="majorHAnsi" w:hAnsiTheme="majorHAnsi" w:cstheme="majorHAnsi"/>
                <w:i/>
                <w:sz w:val="20"/>
                <w:szCs w:val="20"/>
              </w:rPr>
              <w:t>i.e.,</w:t>
            </w: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 xml:space="preserve"> documentation of the author's analysis/synthesis 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>of related published articles).</w:t>
            </w:r>
          </w:p>
        </w:tc>
        <w:tc>
          <w:tcPr>
            <w:tcW w:w="1620" w:type="dxa"/>
            <w:vAlign w:val="center"/>
          </w:tcPr>
          <w:p w14:paraId="54AAB815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64EDF3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094178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4121694B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3D0668E5" w14:textId="77777777" w:rsidTr="00B45858">
        <w:tc>
          <w:tcPr>
            <w:tcW w:w="5845" w:type="dxa"/>
            <w:vAlign w:val="center"/>
          </w:tcPr>
          <w:p w14:paraId="28D5E25E" w14:textId="77777777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The Teaching Tools and Strategies includes references to resources that provide the instructor with additional background knowledge/reading.</w:t>
            </w:r>
          </w:p>
        </w:tc>
        <w:tc>
          <w:tcPr>
            <w:tcW w:w="1620" w:type="dxa"/>
            <w:vAlign w:val="center"/>
          </w:tcPr>
          <w:p w14:paraId="3059F708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66C14E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12872F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74D8D23D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455219DD" w14:textId="77777777" w:rsidTr="00B45858">
        <w:tc>
          <w:tcPr>
            <w:tcW w:w="5845" w:type="dxa"/>
            <w:tcBorders>
              <w:bottom w:val="single" w:sz="4" w:space="0" w:color="000000"/>
            </w:tcBorders>
            <w:vAlign w:val="center"/>
          </w:tcPr>
          <w:p w14:paraId="39F2E10C" w14:textId="77777777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The Teaching Tools and Strategies provides sufficient information to help readers learn more about teaching the topic.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35B06A9E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4BF70065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5DD70A17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bottom w:val="single" w:sz="4" w:space="0" w:color="000000"/>
            </w:tcBorders>
            <w:vAlign w:val="center"/>
          </w:tcPr>
          <w:p w14:paraId="1DAB07AC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65777B64" w14:textId="77777777" w:rsidTr="00952C2E">
        <w:tc>
          <w:tcPr>
            <w:tcW w:w="14863" w:type="dxa"/>
            <w:gridSpan w:val="5"/>
            <w:shd w:val="clear" w:color="auto" w:fill="D9D9D9" w:themeFill="background1" w:themeFillShade="D9"/>
            <w:vAlign w:val="center"/>
          </w:tcPr>
          <w:p w14:paraId="2E509BD8" w14:textId="2A1B2207" w:rsidR="00CB4C1B" w:rsidRPr="00B80BDB" w:rsidRDefault="00952C2E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Supporting Materials</w:t>
            </w:r>
          </w:p>
        </w:tc>
      </w:tr>
      <w:tr w:rsidR="00B80BDB" w:rsidRPr="00B80BDB" w14:paraId="00971668" w14:textId="77777777" w:rsidTr="00B45858">
        <w:tc>
          <w:tcPr>
            <w:tcW w:w="5845" w:type="dxa"/>
            <w:vAlign w:val="center"/>
          </w:tcPr>
          <w:p w14:paraId="33C5A7EF" w14:textId="4BCA58A2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Supporting materials are referenced throughout the Teaching T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>ools and Strategies manuscript.</w:t>
            </w:r>
          </w:p>
        </w:tc>
        <w:tc>
          <w:tcPr>
            <w:tcW w:w="1620" w:type="dxa"/>
            <w:vAlign w:val="center"/>
          </w:tcPr>
          <w:p w14:paraId="40C85849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EFC7E7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D4CB85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2390AF05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4FAFE5CD" w14:textId="77777777" w:rsidTr="00B45858">
        <w:tc>
          <w:tcPr>
            <w:tcW w:w="5845" w:type="dxa"/>
            <w:vAlign w:val="center"/>
          </w:tcPr>
          <w:p w14:paraId="3F43411D" w14:textId="08D61D7C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Adequate and well-written supporting materials (references, presentations etc.) are provided to enable the reader to gain greater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 xml:space="preserve"> understanding about the topic.</w:t>
            </w:r>
          </w:p>
        </w:tc>
        <w:tc>
          <w:tcPr>
            <w:tcW w:w="1620" w:type="dxa"/>
            <w:vAlign w:val="center"/>
          </w:tcPr>
          <w:p w14:paraId="1225CB42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F35A20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D54B79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59BD5698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75529A1C" w14:textId="77777777" w:rsidTr="00B45858">
        <w:trPr>
          <w:trHeight w:val="400"/>
        </w:trPr>
        <w:tc>
          <w:tcPr>
            <w:tcW w:w="5845" w:type="dxa"/>
            <w:vAlign w:val="center"/>
          </w:tcPr>
          <w:p w14:paraId="2A0FC87C" w14:textId="3E8ECC0E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The supporting materials contain original work from the author, or if it is from another source proper permissi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>ons and attribution are noted.</w:t>
            </w:r>
          </w:p>
        </w:tc>
        <w:tc>
          <w:tcPr>
            <w:tcW w:w="1620" w:type="dxa"/>
            <w:vAlign w:val="center"/>
          </w:tcPr>
          <w:p w14:paraId="3A8AFCD0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118125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942A28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2A21FF79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7CF2FCEA" w14:textId="77777777" w:rsidTr="00952C2E">
        <w:tc>
          <w:tcPr>
            <w:tcW w:w="14863" w:type="dxa"/>
            <w:gridSpan w:val="5"/>
            <w:shd w:val="clear" w:color="auto" w:fill="D9D9D9" w:themeFill="background1" w:themeFillShade="D9"/>
            <w:vAlign w:val="center"/>
          </w:tcPr>
          <w:p w14:paraId="7CEF21DC" w14:textId="15F387BF" w:rsidR="00CB4C1B" w:rsidRPr="00B80BDB" w:rsidRDefault="00952C2E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General</w:t>
            </w:r>
          </w:p>
        </w:tc>
      </w:tr>
      <w:tr w:rsidR="00B80BDB" w:rsidRPr="00B80BDB" w14:paraId="6FCC22B5" w14:textId="77777777" w:rsidTr="00B45858">
        <w:tc>
          <w:tcPr>
            <w:tcW w:w="5845" w:type="dxa"/>
            <w:vAlign w:val="center"/>
          </w:tcPr>
          <w:p w14:paraId="10DD90ED" w14:textId="636D2C7D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>All sections of the Teaching Tools and Strategies include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 xml:space="preserve"> relevant and accurate content.</w:t>
            </w:r>
          </w:p>
        </w:tc>
        <w:tc>
          <w:tcPr>
            <w:tcW w:w="1620" w:type="dxa"/>
            <w:vAlign w:val="center"/>
          </w:tcPr>
          <w:p w14:paraId="1F0D8793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16E412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38864B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2584B979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0BDB" w:rsidRPr="00B80BDB" w14:paraId="126A1DDF" w14:textId="77777777" w:rsidTr="00B45858">
        <w:tc>
          <w:tcPr>
            <w:tcW w:w="5845" w:type="dxa"/>
            <w:vAlign w:val="center"/>
          </w:tcPr>
          <w:p w14:paraId="055C6C19" w14:textId="71B4DAD2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 xml:space="preserve">The title and abstract </w:t>
            </w:r>
            <w:r w:rsidR="00B62A61">
              <w:rPr>
                <w:rFonts w:asciiTheme="majorHAnsi" w:hAnsiTheme="majorHAnsi" w:cstheme="majorHAnsi"/>
                <w:sz w:val="20"/>
                <w:szCs w:val="20"/>
              </w:rPr>
              <w:t>clearly and succinctly express</w:t>
            </w:r>
            <w:bookmarkStart w:id="1" w:name="_GoBack"/>
            <w:bookmarkEnd w:id="1"/>
            <w:r w:rsidRPr="00B80BDB">
              <w:rPr>
                <w:rFonts w:asciiTheme="majorHAnsi" w:hAnsiTheme="majorHAnsi" w:cstheme="majorHAnsi"/>
                <w:sz w:val="20"/>
                <w:szCs w:val="20"/>
              </w:rPr>
              <w:t xml:space="preserve"> the content of the Teachin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>g Tools and Strategies article.</w:t>
            </w:r>
          </w:p>
        </w:tc>
        <w:tc>
          <w:tcPr>
            <w:tcW w:w="1620" w:type="dxa"/>
            <w:vAlign w:val="center"/>
          </w:tcPr>
          <w:p w14:paraId="45ABB5C0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686934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98E3A8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23626FDC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4C1B" w:rsidRPr="00B80BDB" w14:paraId="77E90113" w14:textId="77777777" w:rsidTr="00B45858">
        <w:trPr>
          <w:trHeight w:val="260"/>
        </w:trPr>
        <w:tc>
          <w:tcPr>
            <w:tcW w:w="5845" w:type="dxa"/>
            <w:vAlign w:val="center"/>
          </w:tcPr>
          <w:p w14:paraId="0C08AA6A" w14:textId="3F5392F5" w:rsidR="00CB4C1B" w:rsidRPr="00B80BDB" w:rsidRDefault="00B45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0BDB">
              <w:rPr>
                <w:rFonts w:asciiTheme="majorHAnsi" w:hAnsiTheme="majorHAnsi" w:cstheme="majorHAnsi"/>
                <w:sz w:val="20"/>
                <w:szCs w:val="20"/>
              </w:rPr>
              <w:t xml:space="preserve">The grammar and writing style are of high quality with no significant distractions, such as </w:t>
            </w:r>
            <w:r w:rsidR="00B80BDB">
              <w:rPr>
                <w:rFonts w:asciiTheme="majorHAnsi" w:hAnsiTheme="majorHAnsi" w:cstheme="majorHAnsi"/>
                <w:sz w:val="20"/>
                <w:szCs w:val="20"/>
              </w:rPr>
              <w:t>spelling or grammatical errors.</w:t>
            </w:r>
          </w:p>
        </w:tc>
        <w:tc>
          <w:tcPr>
            <w:tcW w:w="1620" w:type="dxa"/>
            <w:vAlign w:val="center"/>
          </w:tcPr>
          <w:p w14:paraId="437E530A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4478C1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D960F3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57692623" w14:textId="77777777" w:rsidR="00CB4C1B" w:rsidRPr="00B80BDB" w:rsidRDefault="00CB4C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DB397A" w14:textId="77777777" w:rsidR="00CB4C1B" w:rsidRDefault="00CB4C1B">
      <w:pPr>
        <w:rPr>
          <w:rFonts w:asciiTheme="majorHAnsi" w:hAnsiTheme="majorHAnsi" w:cstheme="majorHAnsi"/>
          <w:sz w:val="20"/>
          <w:szCs w:val="20"/>
        </w:rPr>
      </w:pPr>
    </w:p>
    <w:p w14:paraId="1118BC09" w14:textId="79883A71" w:rsidR="00B80BDB" w:rsidRPr="00B80BDB" w:rsidRDefault="00B80BD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80BDB">
        <w:rPr>
          <w:rFonts w:asciiTheme="majorHAnsi" w:hAnsiTheme="majorHAnsi" w:cstheme="majorHAnsi"/>
          <w:b/>
          <w:sz w:val="20"/>
          <w:szCs w:val="20"/>
          <w:u w:val="single"/>
        </w:rPr>
        <w:t>OTHER COMMENTS:</w:t>
      </w:r>
    </w:p>
    <w:p w14:paraId="7CF26135" w14:textId="77777777" w:rsidR="00B80BDB" w:rsidRPr="00B80BDB" w:rsidRDefault="00B80BDB">
      <w:pPr>
        <w:rPr>
          <w:rFonts w:asciiTheme="majorHAnsi" w:hAnsiTheme="majorHAnsi" w:cstheme="majorHAnsi"/>
          <w:sz w:val="20"/>
          <w:szCs w:val="20"/>
        </w:rPr>
      </w:pPr>
    </w:p>
    <w:sectPr w:rsidR="00B80BDB" w:rsidRPr="00B80BDB">
      <w:footerReference w:type="default" r:id="rId6"/>
      <w:pgSz w:w="15840" w:h="122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850D" w14:textId="77777777" w:rsidR="00801041" w:rsidRDefault="00801041" w:rsidP="00A61138">
      <w:r>
        <w:separator/>
      </w:r>
    </w:p>
  </w:endnote>
  <w:endnote w:type="continuationSeparator" w:id="0">
    <w:p w14:paraId="17676C58" w14:textId="77777777" w:rsidR="00801041" w:rsidRDefault="00801041" w:rsidP="00A6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40DE" w14:textId="53AC73AA" w:rsidR="00A61138" w:rsidRPr="00A61138" w:rsidRDefault="00A61138" w:rsidP="00A61138">
    <w:pPr>
      <w:pStyle w:val="Footer"/>
      <w:jc w:val="right"/>
      <w:rPr>
        <w:rFonts w:asciiTheme="majorHAnsi" w:hAnsiTheme="majorHAnsi" w:cstheme="majorHAnsi"/>
      </w:rPr>
    </w:pPr>
    <w:r w:rsidRPr="00B80BDB">
      <w:rPr>
        <w:rFonts w:asciiTheme="majorHAnsi" w:hAnsiTheme="majorHAnsi" w:cstheme="majorHAnsi"/>
        <w:i/>
      </w:rPr>
      <w:t>CourseSource</w:t>
    </w:r>
    <w:r w:rsidRPr="00A61138">
      <w:rPr>
        <w:rFonts w:asciiTheme="majorHAnsi" w:hAnsiTheme="majorHAnsi" w:cstheme="majorHAnsi"/>
      </w:rPr>
      <w:t xml:space="preserve"> Teaching Tools and Strategies</w:t>
    </w:r>
    <w:r w:rsidR="00B80BDB">
      <w:rPr>
        <w:rFonts w:asciiTheme="majorHAnsi" w:hAnsiTheme="majorHAnsi" w:cstheme="majorHAnsi"/>
      </w:rPr>
      <w:t xml:space="preserve"> Rubric; Updated Aug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9B91" w14:textId="77777777" w:rsidR="00801041" w:rsidRDefault="00801041" w:rsidP="00A61138">
      <w:r>
        <w:separator/>
      </w:r>
    </w:p>
  </w:footnote>
  <w:footnote w:type="continuationSeparator" w:id="0">
    <w:p w14:paraId="30B40004" w14:textId="77777777" w:rsidR="00801041" w:rsidRDefault="00801041" w:rsidP="00A6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1B"/>
    <w:rsid w:val="0070027D"/>
    <w:rsid w:val="00801041"/>
    <w:rsid w:val="008142F6"/>
    <w:rsid w:val="008A1025"/>
    <w:rsid w:val="00952C2E"/>
    <w:rsid w:val="009A5CE1"/>
    <w:rsid w:val="00A61138"/>
    <w:rsid w:val="00B45858"/>
    <w:rsid w:val="00B62A61"/>
    <w:rsid w:val="00B80BDB"/>
    <w:rsid w:val="00C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9427"/>
  <w15:docId w15:val="{41AC81D3-C744-BC43-8D86-DD926F6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6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38"/>
  </w:style>
  <w:style w:type="paragraph" w:styleId="Footer">
    <w:name w:val="footer"/>
    <w:basedOn w:val="Normal"/>
    <w:link w:val="FooterChar"/>
    <w:uiPriority w:val="99"/>
    <w:unhideWhenUsed/>
    <w:rsid w:val="00A6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Sharleen</dc:creator>
  <cp:lastModifiedBy>Sharleen</cp:lastModifiedBy>
  <cp:revision>3</cp:revision>
  <dcterms:created xsi:type="dcterms:W3CDTF">2023-08-04T17:22:00Z</dcterms:created>
  <dcterms:modified xsi:type="dcterms:W3CDTF">2023-08-04T17:38:00Z</dcterms:modified>
</cp:coreProperties>
</file>