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0DF4" w14:textId="7AA08F8D" w:rsidR="003E14E2" w:rsidRDefault="00D92D50" w:rsidP="007633B0">
      <w:pPr>
        <w:pStyle w:val="Title"/>
        <w:rPr>
          <w:sz w:val="52"/>
          <w:szCs w:val="52"/>
        </w:rPr>
      </w:pPr>
      <w:bookmarkStart w:id="0" w:name="_GoBack"/>
      <w:bookmarkEnd w:id="0"/>
      <w:r w:rsidRPr="00317A30">
        <w:rPr>
          <w:sz w:val="52"/>
          <w:szCs w:val="52"/>
        </w:rPr>
        <w:t>Rubric to Assess</w:t>
      </w:r>
      <w:r w:rsidR="00317A30" w:rsidRPr="00317A30">
        <w:rPr>
          <w:sz w:val="52"/>
          <w:szCs w:val="52"/>
        </w:rPr>
        <w:t xml:space="preserve"> Diversity, Equity, and Inclusion</w:t>
      </w:r>
      <w:r w:rsidR="008E0BB3">
        <w:rPr>
          <w:sz w:val="52"/>
          <w:szCs w:val="52"/>
        </w:rPr>
        <w:t xml:space="preserve"> </w:t>
      </w:r>
      <w:r w:rsidR="00C95DD5">
        <w:rPr>
          <w:sz w:val="52"/>
          <w:szCs w:val="52"/>
        </w:rPr>
        <w:t xml:space="preserve">(DEI) </w:t>
      </w:r>
      <w:r w:rsidR="008E0BB3">
        <w:rPr>
          <w:sz w:val="52"/>
          <w:szCs w:val="52"/>
        </w:rPr>
        <w:t>Statement</w:t>
      </w:r>
      <w:r w:rsidR="00D56CE5">
        <w:rPr>
          <w:sz w:val="52"/>
          <w:szCs w:val="52"/>
        </w:rPr>
        <w:t>s</w:t>
      </w:r>
    </w:p>
    <w:p w14:paraId="38574BB6" w14:textId="08004A48" w:rsidR="008E0BB3" w:rsidRDefault="008E0BB3" w:rsidP="008E0B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9092"/>
      </w:tblGrid>
      <w:tr w:rsidR="00A235B1" w14:paraId="369E3EAC" w14:textId="77777777" w:rsidTr="008B16C2">
        <w:tc>
          <w:tcPr>
            <w:tcW w:w="10790" w:type="dxa"/>
            <w:gridSpan w:val="2"/>
          </w:tcPr>
          <w:p w14:paraId="661E61E3" w14:textId="69E308C5" w:rsidR="00A235B1" w:rsidRPr="00003D0D" w:rsidRDefault="00DD6C73" w:rsidP="008E0BB3">
            <w:pPr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Problematic </w:t>
            </w:r>
            <w:r w:rsidR="00D54108">
              <w:rPr>
                <w:b/>
                <w:bCs/>
                <w:sz w:val="32"/>
                <w:szCs w:val="32"/>
              </w:rPr>
              <w:t>A</w:t>
            </w:r>
            <w:r>
              <w:rPr>
                <w:b/>
                <w:bCs/>
                <w:sz w:val="32"/>
                <w:szCs w:val="32"/>
              </w:rPr>
              <w:t>pproaches</w:t>
            </w:r>
          </w:p>
        </w:tc>
      </w:tr>
      <w:tr w:rsidR="0083307B" w14:paraId="2A9693E8" w14:textId="77777777" w:rsidTr="003710A0">
        <w:tc>
          <w:tcPr>
            <w:tcW w:w="1698" w:type="dxa"/>
            <w:vMerge w:val="restart"/>
            <w:vAlign w:val="center"/>
          </w:tcPr>
          <w:p w14:paraId="6FD713F7" w14:textId="7E4093E3" w:rsidR="0083307B" w:rsidRPr="0049473C" w:rsidRDefault="0083307B" w:rsidP="0083307B">
            <w:pPr>
              <w:rPr>
                <w:b/>
                <w:bCs/>
                <w:sz w:val="28"/>
                <w:szCs w:val="28"/>
              </w:rPr>
            </w:pPr>
            <w:r w:rsidRPr="0049473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92" w:type="dxa"/>
          </w:tcPr>
          <w:p w14:paraId="2925CF83" w14:textId="3B532742" w:rsidR="0083307B" w:rsidRDefault="0083307B" w:rsidP="008E0BB3">
            <w:r w:rsidRPr="00E15F2D">
              <w:rPr>
                <w:i/>
                <w:iCs/>
              </w:rPr>
              <w:t>Solely</w:t>
            </w:r>
            <w:r>
              <w:t xml:space="preserve"> focuses on how their teaching and/or research </w:t>
            </w:r>
            <w:r w:rsidR="000A5096">
              <w:t>could theoretically deal</w:t>
            </w:r>
            <w:r>
              <w:t xml:space="preserve"> with issues of race, class, gender, language, etc.</w:t>
            </w:r>
          </w:p>
        </w:tc>
      </w:tr>
      <w:tr w:rsidR="0083307B" w14:paraId="4087AC0B" w14:textId="77777777" w:rsidTr="003710A0">
        <w:tc>
          <w:tcPr>
            <w:tcW w:w="1698" w:type="dxa"/>
            <w:vMerge/>
          </w:tcPr>
          <w:p w14:paraId="6DB4F169" w14:textId="77777777" w:rsidR="0083307B" w:rsidRDefault="0083307B" w:rsidP="008E0BB3"/>
        </w:tc>
        <w:tc>
          <w:tcPr>
            <w:tcW w:w="9092" w:type="dxa"/>
          </w:tcPr>
          <w:p w14:paraId="519E49F2" w14:textId="0DF9FC5C" w:rsidR="0083307B" w:rsidRPr="00ED3CC6" w:rsidRDefault="0083307B" w:rsidP="008E0BB3">
            <w:r>
              <w:rPr>
                <w:i/>
                <w:iCs/>
              </w:rPr>
              <w:t>Solely</w:t>
            </w:r>
            <w:r>
              <w:t xml:space="preserve"> points to their identity as a member of an underrepresented group as proof that they understand DEI theoretically</w:t>
            </w:r>
          </w:p>
        </w:tc>
      </w:tr>
      <w:tr w:rsidR="0083307B" w14:paraId="5A040A83" w14:textId="77777777" w:rsidTr="003710A0">
        <w:tc>
          <w:tcPr>
            <w:tcW w:w="1698" w:type="dxa"/>
            <w:vMerge/>
          </w:tcPr>
          <w:p w14:paraId="2FE007C0" w14:textId="77777777" w:rsidR="0083307B" w:rsidRDefault="0083307B" w:rsidP="008E0BB3"/>
        </w:tc>
        <w:tc>
          <w:tcPr>
            <w:tcW w:w="9092" w:type="dxa"/>
          </w:tcPr>
          <w:p w14:paraId="40961DDA" w14:textId="5022ECD2" w:rsidR="0083307B" w:rsidRPr="00C95DD5" w:rsidRDefault="0083307B" w:rsidP="008E0BB3">
            <w:r>
              <w:rPr>
                <w:i/>
                <w:iCs/>
              </w:rPr>
              <w:t>Solely</w:t>
            </w:r>
            <w:r>
              <w:t xml:space="preserve"> acknowledges that racism, classism, etc. are issues in the academy</w:t>
            </w:r>
          </w:p>
        </w:tc>
      </w:tr>
      <w:tr w:rsidR="0083307B" w14:paraId="25A0D03F" w14:textId="77777777" w:rsidTr="00F41813">
        <w:tc>
          <w:tcPr>
            <w:tcW w:w="1698" w:type="dxa"/>
            <w:vMerge/>
          </w:tcPr>
          <w:p w14:paraId="68142704" w14:textId="77777777" w:rsidR="0083307B" w:rsidRDefault="0083307B" w:rsidP="008E0BB3"/>
        </w:tc>
        <w:tc>
          <w:tcPr>
            <w:tcW w:w="9092" w:type="dxa"/>
            <w:tcBorders>
              <w:bottom w:val="single" w:sz="4" w:space="0" w:color="auto"/>
            </w:tcBorders>
          </w:tcPr>
          <w:p w14:paraId="6829C614" w14:textId="1D4176E6" w:rsidR="0083307B" w:rsidRPr="004E0B79" w:rsidRDefault="0083307B" w:rsidP="008E0BB3">
            <w:r>
              <w:rPr>
                <w:i/>
                <w:iCs/>
              </w:rPr>
              <w:t>Solely</w:t>
            </w:r>
            <w:r>
              <w:t xml:space="preserve"> discusses how they are </w:t>
            </w:r>
            <w:r w:rsidR="00723E79">
              <w:t>knowledgeable</w:t>
            </w:r>
            <w:r>
              <w:t xml:space="preserve"> about DEI through </w:t>
            </w:r>
            <w:r w:rsidR="00723E79">
              <w:t xml:space="preserve">passive </w:t>
            </w:r>
            <w:r>
              <w:t>participation in</w:t>
            </w:r>
            <w:r w:rsidR="00723E79">
              <w:t xml:space="preserve"> a few</w:t>
            </w:r>
            <w:r>
              <w:t xml:space="preserve"> workshops, sessions, reading groups, etc.</w:t>
            </w:r>
          </w:p>
        </w:tc>
      </w:tr>
      <w:tr w:rsidR="0083307B" w14:paraId="1F7D6FDE" w14:textId="77777777" w:rsidTr="00F41813">
        <w:tc>
          <w:tcPr>
            <w:tcW w:w="1698" w:type="dxa"/>
            <w:vMerge/>
            <w:tcBorders>
              <w:bottom w:val="single" w:sz="4" w:space="0" w:color="auto"/>
            </w:tcBorders>
          </w:tcPr>
          <w:p w14:paraId="2561D8B4" w14:textId="77777777" w:rsidR="0083307B" w:rsidRDefault="0083307B" w:rsidP="008E0BB3"/>
        </w:tc>
        <w:tc>
          <w:tcPr>
            <w:tcW w:w="9092" w:type="dxa"/>
            <w:tcBorders>
              <w:bottom w:val="single" w:sz="4" w:space="0" w:color="auto"/>
            </w:tcBorders>
          </w:tcPr>
          <w:p w14:paraId="35C346BC" w14:textId="27595417" w:rsidR="0083307B" w:rsidRPr="005575CE" w:rsidRDefault="0083307B" w:rsidP="008E0BB3">
            <w:r>
              <w:rPr>
                <w:i/>
                <w:iCs/>
              </w:rPr>
              <w:t>Solely</w:t>
            </w:r>
            <w:r>
              <w:t xml:space="preserve"> provides examples of how they have been discriminated against or </w:t>
            </w:r>
            <w:r w:rsidR="00DD6C73">
              <w:t xml:space="preserve">have </w:t>
            </w:r>
            <w:r>
              <w:t xml:space="preserve">discriminated against someone, i.e., framing themselves as </w:t>
            </w:r>
            <w:r w:rsidR="0094738E">
              <w:t xml:space="preserve">a </w:t>
            </w:r>
            <w:r>
              <w:t>victim and/or social justice champion</w:t>
            </w:r>
          </w:p>
        </w:tc>
      </w:tr>
      <w:tr w:rsidR="00A235B1" w14:paraId="1736FCBB" w14:textId="77777777" w:rsidTr="00F41813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95BC3" w14:textId="77777777" w:rsidR="00A235B1" w:rsidRDefault="00A235B1" w:rsidP="008E0BB3"/>
        </w:tc>
        <w:tc>
          <w:tcPr>
            <w:tcW w:w="9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1FF95" w14:textId="77777777" w:rsidR="00A235B1" w:rsidRDefault="00A235B1" w:rsidP="008E0BB3"/>
        </w:tc>
      </w:tr>
      <w:tr w:rsidR="0083307B" w14:paraId="6E4670BF" w14:textId="77777777" w:rsidTr="00F41813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14:paraId="59D2279C" w14:textId="1206E746" w:rsidR="0083307B" w:rsidRDefault="00DF0144" w:rsidP="008E0BB3">
            <w:r>
              <w:rPr>
                <w:b/>
                <w:bCs/>
                <w:sz w:val="32"/>
                <w:szCs w:val="32"/>
              </w:rPr>
              <w:t>Valuing and Understanding</w:t>
            </w:r>
            <w:r w:rsidR="00EC44AC">
              <w:rPr>
                <w:b/>
                <w:bCs/>
                <w:sz w:val="32"/>
                <w:szCs w:val="32"/>
              </w:rPr>
              <w:t xml:space="preserve"> Diversity, Equity, and Inclusion</w:t>
            </w:r>
          </w:p>
        </w:tc>
      </w:tr>
      <w:tr w:rsidR="0049473C" w14:paraId="0A3016DF" w14:textId="77777777" w:rsidTr="0049473C">
        <w:tc>
          <w:tcPr>
            <w:tcW w:w="1698" w:type="dxa"/>
            <w:vMerge w:val="restart"/>
            <w:vAlign w:val="center"/>
          </w:tcPr>
          <w:p w14:paraId="17F12BA9" w14:textId="13A0AE00" w:rsidR="0049473C" w:rsidRPr="0049473C" w:rsidRDefault="0049473C" w:rsidP="0049473C">
            <w:pPr>
              <w:rPr>
                <w:b/>
                <w:bCs/>
                <w:sz w:val="28"/>
                <w:szCs w:val="28"/>
              </w:rPr>
            </w:pPr>
            <w:r w:rsidRPr="0049473C">
              <w:rPr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9092" w:type="dxa"/>
          </w:tcPr>
          <w:p w14:paraId="1A24A08E" w14:textId="385DE357" w:rsidR="0049473C" w:rsidRDefault="0049473C" w:rsidP="008E0BB3">
            <w:r>
              <w:t>Has given little to no effort on increasing their knowledge/understanding of DEI-related topics through workshops, communication, etc.</w:t>
            </w:r>
          </w:p>
        </w:tc>
      </w:tr>
      <w:tr w:rsidR="0049473C" w14:paraId="3714FAAF" w14:textId="77777777" w:rsidTr="0049473C">
        <w:tc>
          <w:tcPr>
            <w:tcW w:w="1698" w:type="dxa"/>
            <w:vMerge/>
            <w:vAlign w:val="center"/>
          </w:tcPr>
          <w:p w14:paraId="47DF7E99" w14:textId="4CC70345" w:rsidR="0049473C" w:rsidRPr="0049473C" w:rsidRDefault="0049473C" w:rsidP="004947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2" w:type="dxa"/>
          </w:tcPr>
          <w:p w14:paraId="64088CF8" w14:textId="13A53A74" w:rsidR="0049473C" w:rsidRDefault="0049473C" w:rsidP="00230015">
            <w:r>
              <w:t>Simply discusses diversity in vague terms and does not describe how they would work to improve DEI in their lab/classroom/department/university/community</w:t>
            </w:r>
          </w:p>
        </w:tc>
      </w:tr>
      <w:tr w:rsidR="0049473C" w14:paraId="6EC16149" w14:textId="77777777" w:rsidTr="0049473C">
        <w:tc>
          <w:tcPr>
            <w:tcW w:w="1698" w:type="dxa"/>
            <w:vMerge w:val="restart"/>
            <w:vAlign w:val="center"/>
          </w:tcPr>
          <w:p w14:paraId="454D3906" w14:textId="550B2EE5" w:rsidR="0049473C" w:rsidRPr="0049473C" w:rsidRDefault="0049473C" w:rsidP="0049473C">
            <w:pPr>
              <w:rPr>
                <w:b/>
                <w:bCs/>
                <w:sz w:val="28"/>
                <w:szCs w:val="28"/>
              </w:rPr>
            </w:pPr>
            <w:r w:rsidRPr="0049473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92" w:type="dxa"/>
          </w:tcPr>
          <w:p w14:paraId="3E917EFC" w14:textId="186ACFD1" w:rsidR="0049473C" w:rsidRDefault="0049473C" w:rsidP="00230015">
            <w:r>
              <w:t xml:space="preserve">Recognizes and places significance on their role as a faculty member in shaping and supporting DEI efforts in their lab/classroom/department/university/community </w:t>
            </w:r>
          </w:p>
        </w:tc>
      </w:tr>
      <w:tr w:rsidR="0049473C" w14:paraId="0AA7DB5F" w14:textId="77777777" w:rsidTr="0049473C">
        <w:tc>
          <w:tcPr>
            <w:tcW w:w="1698" w:type="dxa"/>
            <w:vMerge/>
            <w:vAlign w:val="center"/>
          </w:tcPr>
          <w:p w14:paraId="3187520B" w14:textId="439606B6" w:rsidR="0049473C" w:rsidRPr="0049473C" w:rsidRDefault="0049473C" w:rsidP="004947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2" w:type="dxa"/>
          </w:tcPr>
          <w:p w14:paraId="2F632C51" w14:textId="62FBA2ED" w:rsidR="0049473C" w:rsidRDefault="0049473C" w:rsidP="00230015">
            <w:r>
              <w:t>Expresses willingness to discuss and confront challenges related to advancing DEI practices with the broader community of undergraduates, graduate students, postdoctoral fellows, faculty, and staff at Emory</w:t>
            </w:r>
          </w:p>
        </w:tc>
      </w:tr>
      <w:tr w:rsidR="0049473C" w14:paraId="1B76E56D" w14:textId="77777777" w:rsidTr="0049473C">
        <w:tc>
          <w:tcPr>
            <w:tcW w:w="1698" w:type="dxa"/>
            <w:vMerge w:val="restart"/>
            <w:vAlign w:val="center"/>
          </w:tcPr>
          <w:p w14:paraId="4A02A1DB" w14:textId="77777777" w:rsidR="0049473C" w:rsidRPr="0049473C" w:rsidRDefault="0049473C" w:rsidP="0049473C">
            <w:pPr>
              <w:rPr>
                <w:b/>
                <w:bCs/>
                <w:sz w:val="28"/>
                <w:szCs w:val="28"/>
              </w:rPr>
            </w:pPr>
            <w:r w:rsidRPr="0049473C">
              <w:rPr>
                <w:b/>
                <w:bCs/>
                <w:sz w:val="28"/>
                <w:szCs w:val="28"/>
              </w:rPr>
              <w:t>4-5</w:t>
            </w:r>
          </w:p>
          <w:p w14:paraId="17310A98" w14:textId="659A3E11" w:rsidR="0049473C" w:rsidRPr="0049473C" w:rsidRDefault="0049473C" w:rsidP="004947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2" w:type="dxa"/>
          </w:tcPr>
          <w:p w14:paraId="4F701F8B" w14:textId="0DEFBC93" w:rsidR="0049473C" w:rsidRDefault="0049473C" w:rsidP="00230015">
            <w:r>
              <w:t xml:space="preserve">Demonstrates </w:t>
            </w:r>
            <w:r w:rsidR="00943C2E">
              <w:t xml:space="preserve">an </w:t>
            </w:r>
            <w:r>
              <w:t>understanding of multiple dimensions of diversity (e.g., ethnic, socioeconomic, racial, gender, sexual orientation, disability, cultural differences, etc.) and that people may have unique experiences given their intersectionality at various identities</w:t>
            </w:r>
          </w:p>
        </w:tc>
      </w:tr>
      <w:tr w:rsidR="0049473C" w14:paraId="76F6D16D" w14:textId="77777777" w:rsidTr="002425BD">
        <w:tc>
          <w:tcPr>
            <w:tcW w:w="1698" w:type="dxa"/>
            <w:vMerge/>
            <w:tcBorders>
              <w:bottom w:val="single" w:sz="4" w:space="0" w:color="auto"/>
            </w:tcBorders>
          </w:tcPr>
          <w:p w14:paraId="14C252D1" w14:textId="78E1F1E5" w:rsidR="0049473C" w:rsidRPr="008C7744" w:rsidRDefault="0049473C" w:rsidP="00230015">
            <w:pPr>
              <w:rPr>
                <w:b/>
                <w:bCs/>
              </w:rPr>
            </w:pPr>
          </w:p>
        </w:tc>
        <w:tc>
          <w:tcPr>
            <w:tcW w:w="9092" w:type="dxa"/>
            <w:tcBorders>
              <w:bottom w:val="single" w:sz="4" w:space="0" w:color="auto"/>
            </w:tcBorders>
          </w:tcPr>
          <w:p w14:paraId="7DEFE37B" w14:textId="7663BE45" w:rsidR="0049473C" w:rsidRDefault="000C3EB4" w:rsidP="00230015">
            <w:r>
              <w:t xml:space="preserve">Vocalizes that antiracism </w:t>
            </w:r>
            <w:r w:rsidR="00997C3E">
              <w:t>practices requires consistent and long-term growth, reflection, and engagement</w:t>
            </w:r>
            <w:r w:rsidR="007968EB">
              <w:t xml:space="preserve"> (and that they are prepared to put in this work)</w:t>
            </w:r>
          </w:p>
        </w:tc>
      </w:tr>
      <w:tr w:rsidR="00230015" w14:paraId="5881C404" w14:textId="77777777" w:rsidTr="002425BD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AB31B" w14:textId="77777777" w:rsidR="00230015" w:rsidRDefault="00230015" w:rsidP="00230015"/>
        </w:tc>
        <w:tc>
          <w:tcPr>
            <w:tcW w:w="9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5F26C" w14:textId="77777777" w:rsidR="00230015" w:rsidRDefault="00230015" w:rsidP="00230015"/>
        </w:tc>
      </w:tr>
      <w:tr w:rsidR="00230015" w14:paraId="4C2880A9" w14:textId="77777777" w:rsidTr="002425BD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14:paraId="4CEE03A8" w14:textId="77777777" w:rsidR="00230015" w:rsidRDefault="00230015" w:rsidP="0023001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Track Record in Advancing Diversity, Equity, and Inclusion</w:t>
            </w:r>
          </w:p>
          <w:p w14:paraId="2F6EE3DE" w14:textId="44DC900C" w:rsidR="008C2A7A" w:rsidRDefault="008C2A7A" w:rsidP="00230015">
            <w:r w:rsidRPr="008C2A7A">
              <w:t xml:space="preserve">Note: </w:t>
            </w:r>
            <w:r>
              <w:t>For this section, k</w:t>
            </w:r>
            <w:r w:rsidRPr="008C2A7A">
              <w:t xml:space="preserve">eep in mind that individuals may come from departments that were hostile to </w:t>
            </w:r>
            <w:r>
              <w:t>DEI-related activities</w:t>
            </w:r>
            <w:r w:rsidRPr="008C2A7A">
              <w:t>, so they may not have felt comfortable participating</w:t>
            </w:r>
            <w:r>
              <w:t>.</w:t>
            </w:r>
          </w:p>
        </w:tc>
      </w:tr>
      <w:tr w:rsidR="0049473C" w14:paraId="6E639EA7" w14:textId="77777777" w:rsidTr="0049473C">
        <w:tc>
          <w:tcPr>
            <w:tcW w:w="1698" w:type="dxa"/>
            <w:vMerge w:val="restart"/>
            <w:vAlign w:val="center"/>
          </w:tcPr>
          <w:p w14:paraId="6BAB5480" w14:textId="0E849C21" w:rsidR="0049473C" w:rsidRPr="0049473C" w:rsidRDefault="0049473C" w:rsidP="0049473C">
            <w:pPr>
              <w:rPr>
                <w:b/>
                <w:bCs/>
                <w:sz w:val="28"/>
                <w:szCs w:val="28"/>
              </w:rPr>
            </w:pPr>
            <w:r w:rsidRPr="0049473C">
              <w:rPr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9092" w:type="dxa"/>
          </w:tcPr>
          <w:p w14:paraId="26D5AD3C" w14:textId="5ED99FE7" w:rsidR="0049473C" w:rsidRDefault="0049473C" w:rsidP="00230015">
            <w:r>
              <w:t xml:space="preserve">Has invested little time in advancing DEI beyond basic expectations </w:t>
            </w:r>
            <w:r w:rsidR="006E57A6">
              <w:t>for their academic rank</w:t>
            </w:r>
            <w:r w:rsidR="00F077B8">
              <w:t xml:space="preserve"> or institutional climate</w:t>
            </w:r>
            <w:r w:rsidR="006E57A6">
              <w:t xml:space="preserve"> </w:t>
            </w:r>
          </w:p>
        </w:tc>
      </w:tr>
      <w:tr w:rsidR="0049473C" w14:paraId="6E1D1449" w14:textId="77777777" w:rsidTr="0049473C">
        <w:tc>
          <w:tcPr>
            <w:tcW w:w="1698" w:type="dxa"/>
            <w:vMerge/>
            <w:vAlign w:val="center"/>
          </w:tcPr>
          <w:p w14:paraId="15F0112B" w14:textId="5DCA839D" w:rsidR="0049473C" w:rsidRPr="0049473C" w:rsidRDefault="0049473C" w:rsidP="004947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2" w:type="dxa"/>
          </w:tcPr>
          <w:p w14:paraId="35CF55D8" w14:textId="5118E8FD" w:rsidR="0049473C" w:rsidRDefault="0049473C" w:rsidP="00230015">
            <w:r>
              <w:t>Passively describes past participation in workshops, committees, etc. and does not describe the purpose, outcome, or their specific role in such events or organizations</w:t>
            </w:r>
          </w:p>
        </w:tc>
      </w:tr>
      <w:tr w:rsidR="00230015" w14:paraId="16741EB0" w14:textId="77777777" w:rsidTr="0049473C">
        <w:tc>
          <w:tcPr>
            <w:tcW w:w="1698" w:type="dxa"/>
            <w:vAlign w:val="center"/>
          </w:tcPr>
          <w:p w14:paraId="2B05E801" w14:textId="14B95CC5" w:rsidR="00230015" w:rsidRPr="0049473C" w:rsidRDefault="00230015" w:rsidP="0049473C">
            <w:pPr>
              <w:rPr>
                <w:b/>
                <w:bCs/>
                <w:sz w:val="28"/>
                <w:szCs w:val="28"/>
              </w:rPr>
            </w:pPr>
            <w:r w:rsidRPr="0049473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92" w:type="dxa"/>
          </w:tcPr>
          <w:p w14:paraId="1CA23912" w14:textId="7F30FAFE" w:rsidR="00230015" w:rsidRDefault="00300217" w:rsidP="00230015">
            <w:r>
              <w:t>Shows l</w:t>
            </w:r>
            <w:r w:rsidR="00230015">
              <w:t>imited participation in single activity</w:t>
            </w:r>
            <w:r w:rsidR="00A22176">
              <w:t xml:space="preserve"> but provides a</w:t>
            </w:r>
            <w:r w:rsidR="009402C3">
              <w:t xml:space="preserve"> </w:t>
            </w:r>
            <w:r w:rsidR="00230015">
              <w:t>clear</w:t>
            </w:r>
            <w:r w:rsidR="00A22176">
              <w:t>er</w:t>
            </w:r>
            <w:r w:rsidR="00230015">
              <w:t xml:space="preserve"> description of </w:t>
            </w:r>
            <w:r w:rsidR="009402C3">
              <w:t xml:space="preserve">the </w:t>
            </w:r>
            <w:r w:rsidR="00230015">
              <w:t>objectives/results of activity and/or the individual role they played</w:t>
            </w:r>
          </w:p>
        </w:tc>
      </w:tr>
      <w:tr w:rsidR="0049473C" w14:paraId="566D3152" w14:textId="77777777" w:rsidTr="0049473C">
        <w:tc>
          <w:tcPr>
            <w:tcW w:w="1698" w:type="dxa"/>
            <w:vMerge w:val="restart"/>
            <w:vAlign w:val="center"/>
          </w:tcPr>
          <w:p w14:paraId="0F60A115" w14:textId="6347C5A6" w:rsidR="0049473C" w:rsidRPr="0049473C" w:rsidRDefault="0049473C" w:rsidP="0049473C">
            <w:pPr>
              <w:rPr>
                <w:b/>
                <w:bCs/>
                <w:sz w:val="28"/>
                <w:szCs w:val="28"/>
              </w:rPr>
            </w:pPr>
            <w:r w:rsidRPr="0049473C">
              <w:rPr>
                <w:b/>
                <w:bCs/>
                <w:sz w:val="28"/>
                <w:szCs w:val="28"/>
              </w:rPr>
              <w:t>4-5</w:t>
            </w:r>
          </w:p>
        </w:tc>
        <w:tc>
          <w:tcPr>
            <w:tcW w:w="9092" w:type="dxa"/>
          </w:tcPr>
          <w:p w14:paraId="09106E89" w14:textId="1ED57FB1" w:rsidR="0049473C" w:rsidRDefault="0049473C" w:rsidP="00230015">
            <w:r>
              <w:t>Demonstrates strong leadership role in past groups/projects that support underrepresented students at various levels (e.g., undergraduate, graduate, postdoctoral)</w:t>
            </w:r>
          </w:p>
        </w:tc>
      </w:tr>
      <w:tr w:rsidR="0049473C" w14:paraId="1BF1B144" w14:textId="77777777" w:rsidTr="00EB5ACB">
        <w:tc>
          <w:tcPr>
            <w:tcW w:w="1698" w:type="dxa"/>
            <w:vMerge/>
          </w:tcPr>
          <w:p w14:paraId="76898077" w14:textId="26E57CB8" w:rsidR="0049473C" w:rsidRPr="00212F89" w:rsidRDefault="0049473C" w:rsidP="00230015">
            <w:pPr>
              <w:rPr>
                <w:b/>
                <w:bCs/>
              </w:rPr>
            </w:pPr>
          </w:p>
        </w:tc>
        <w:tc>
          <w:tcPr>
            <w:tcW w:w="9092" w:type="dxa"/>
            <w:tcBorders>
              <w:bottom w:val="single" w:sz="4" w:space="0" w:color="auto"/>
            </w:tcBorders>
          </w:tcPr>
          <w:p w14:paraId="1412451A" w14:textId="7F90617E" w:rsidR="0049473C" w:rsidRDefault="0049473C" w:rsidP="00230015">
            <w:r>
              <w:t>Leadership in DEI extends to organizing events aimed at the departmental level to increase representation and better support underrepresented students as well as colleagues</w:t>
            </w:r>
          </w:p>
        </w:tc>
      </w:tr>
      <w:tr w:rsidR="0049473C" w14:paraId="6DE9524E" w14:textId="77777777" w:rsidTr="00885C17">
        <w:tc>
          <w:tcPr>
            <w:tcW w:w="1698" w:type="dxa"/>
            <w:vMerge/>
            <w:tcBorders>
              <w:bottom w:val="single" w:sz="4" w:space="0" w:color="auto"/>
            </w:tcBorders>
          </w:tcPr>
          <w:p w14:paraId="7E61559F" w14:textId="1EFD8CE5" w:rsidR="0049473C" w:rsidRPr="00212F89" w:rsidRDefault="0049473C" w:rsidP="00230015">
            <w:pPr>
              <w:rPr>
                <w:b/>
                <w:bCs/>
              </w:rPr>
            </w:pPr>
          </w:p>
        </w:tc>
        <w:tc>
          <w:tcPr>
            <w:tcW w:w="9092" w:type="dxa"/>
            <w:tcBorders>
              <w:bottom w:val="single" w:sz="4" w:space="0" w:color="auto"/>
            </w:tcBorders>
          </w:tcPr>
          <w:p w14:paraId="771EA693" w14:textId="6B57F738" w:rsidR="0049473C" w:rsidRDefault="0049473C" w:rsidP="00230015">
            <w:r>
              <w:t>Documents continuous participation in events or organizations geared towards advancing DEI</w:t>
            </w:r>
            <w:r w:rsidR="000E44F0">
              <w:t xml:space="preserve"> (can include work completed outside of academia, e.g., community activism)</w:t>
            </w:r>
            <w:r>
              <w:t xml:space="preserve"> during multiple career stages</w:t>
            </w:r>
          </w:p>
        </w:tc>
      </w:tr>
      <w:tr w:rsidR="0049473C" w14:paraId="5BA833AD" w14:textId="77777777" w:rsidTr="0049473C"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40764" w14:textId="77777777" w:rsidR="0049473C" w:rsidRDefault="0049473C" w:rsidP="00230015"/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C7B05" w14:textId="77777777" w:rsidR="0049473C" w:rsidRDefault="0049473C" w:rsidP="00230015"/>
        </w:tc>
      </w:tr>
      <w:tr w:rsidR="00230015" w14:paraId="0155C8C7" w14:textId="77777777" w:rsidTr="0049473C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14:paraId="5805D6C9" w14:textId="77777777" w:rsidR="00230015" w:rsidRDefault="00230015" w:rsidP="0023001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Track Record in Mentoring Diverse Trainees</w:t>
            </w:r>
          </w:p>
          <w:p w14:paraId="5F41FB62" w14:textId="0DD2D6E4" w:rsidR="001E21FB" w:rsidRDefault="007E34F6" w:rsidP="00230015">
            <w:r w:rsidRPr="008C2A7A">
              <w:t xml:space="preserve">Note: </w:t>
            </w:r>
            <w:r>
              <w:t>For this section, k</w:t>
            </w:r>
            <w:r w:rsidRPr="008C2A7A">
              <w:t>eep in mind</w:t>
            </w:r>
            <w:r>
              <w:t xml:space="preserve"> </w:t>
            </w:r>
            <w:r w:rsidRPr="007E34F6">
              <w:t>the difference between diverse and BIPOC (black, indigenous, and people of color). I.e.</w:t>
            </w:r>
            <w:r>
              <w:t>,</w:t>
            </w:r>
            <w:r w:rsidRPr="007E34F6">
              <w:t xml:space="preserve"> a white male who mentors a white woman 10 years their senior can honestly say they mentored a diverse trainee however has no interaction with trainees from historically underrepresented groups in STEM and therefore cannot advocate or be an ally for these trainees.</w:t>
            </w:r>
          </w:p>
        </w:tc>
      </w:tr>
      <w:tr w:rsidR="0049473C" w14:paraId="3C6EB729" w14:textId="77777777" w:rsidTr="0049473C">
        <w:tc>
          <w:tcPr>
            <w:tcW w:w="1698" w:type="dxa"/>
            <w:vMerge w:val="restart"/>
            <w:vAlign w:val="center"/>
          </w:tcPr>
          <w:p w14:paraId="02EE3C2B" w14:textId="3DD1843E" w:rsidR="0049473C" w:rsidRPr="0049473C" w:rsidRDefault="0049473C" w:rsidP="0049473C">
            <w:pPr>
              <w:rPr>
                <w:b/>
                <w:bCs/>
                <w:sz w:val="28"/>
                <w:szCs w:val="28"/>
              </w:rPr>
            </w:pPr>
            <w:r w:rsidRPr="0049473C">
              <w:rPr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9092" w:type="dxa"/>
          </w:tcPr>
          <w:p w14:paraId="0886F4EC" w14:textId="4A3D52FE" w:rsidR="0049473C" w:rsidRPr="0085580B" w:rsidRDefault="0049473C" w:rsidP="00230015">
            <w:r>
              <w:t>Briefly mentions inclusion in curriculum, but has no plans to implement additional teaching strategies that enhance inclusion</w:t>
            </w:r>
          </w:p>
        </w:tc>
      </w:tr>
      <w:tr w:rsidR="0049473C" w14:paraId="3E24FAA0" w14:textId="77777777" w:rsidTr="0049473C">
        <w:tc>
          <w:tcPr>
            <w:tcW w:w="1698" w:type="dxa"/>
            <w:vMerge/>
            <w:vAlign w:val="center"/>
          </w:tcPr>
          <w:p w14:paraId="7D875C4E" w14:textId="371B58EB" w:rsidR="0049473C" w:rsidRPr="0049473C" w:rsidRDefault="0049473C" w:rsidP="004947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2" w:type="dxa"/>
          </w:tcPr>
          <w:p w14:paraId="4CED13FF" w14:textId="2DA5C8B8" w:rsidR="0049473C" w:rsidRPr="0085580B" w:rsidRDefault="0049473C" w:rsidP="00230015">
            <w:r>
              <w:t xml:space="preserve">Shows little evidence of personal actions taken to mentor diverse students in the classroom or the lab (e.g., I had a diverse classroom and they did fine) </w:t>
            </w:r>
          </w:p>
        </w:tc>
      </w:tr>
      <w:tr w:rsidR="00230015" w14:paraId="7EAD6484" w14:textId="77777777" w:rsidTr="0049473C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0BCC6560" w14:textId="0C728298" w:rsidR="00230015" w:rsidRPr="0049473C" w:rsidRDefault="00230015" w:rsidP="0049473C">
            <w:pPr>
              <w:rPr>
                <w:b/>
                <w:bCs/>
                <w:sz w:val="28"/>
                <w:szCs w:val="28"/>
              </w:rPr>
            </w:pPr>
            <w:r w:rsidRPr="0049473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92" w:type="dxa"/>
            <w:tcBorders>
              <w:bottom w:val="single" w:sz="4" w:space="0" w:color="auto"/>
            </w:tcBorders>
          </w:tcPr>
          <w:p w14:paraId="3B59CA29" w14:textId="11876E0F" w:rsidR="00230015" w:rsidRPr="0085580B" w:rsidRDefault="00230015" w:rsidP="00230015">
            <w:r>
              <w:t>Has taken a few workshops dedicated to enhancing intercultural or intergroup competencies and skills</w:t>
            </w:r>
          </w:p>
        </w:tc>
      </w:tr>
      <w:tr w:rsidR="0049473C" w14:paraId="0104EBCA" w14:textId="77777777" w:rsidTr="0049473C">
        <w:tc>
          <w:tcPr>
            <w:tcW w:w="1698" w:type="dxa"/>
            <w:vMerge w:val="restart"/>
            <w:vAlign w:val="center"/>
          </w:tcPr>
          <w:p w14:paraId="383E6425" w14:textId="449C9D40" w:rsidR="0049473C" w:rsidRPr="0049473C" w:rsidRDefault="0049473C" w:rsidP="0049473C">
            <w:pPr>
              <w:rPr>
                <w:b/>
                <w:bCs/>
                <w:sz w:val="28"/>
                <w:szCs w:val="28"/>
              </w:rPr>
            </w:pPr>
            <w:r w:rsidRPr="0049473C">
              <w:rPr>
                <w:b/>
                <w:bCs/>
                <w:sz w:val="28"/>
                <w:szCs w:val="28"/>
              </w:rPr>
              <w:t>4-5</w:t>
            </w:r>
          </w:p>
        </w:tc>
        <w:tc>
          <w:tcPr>
            <w:tcW w:w="9092" w:type="dxa"/>
          </w:tcPr>
          <w:p w14:paraId="4C94BC34" w14:textId="4C120AA4" w:rsidR="0049473C" w:rsidRPr="0085580B" w:rsidRDefault="0049473C" w:rsidP="00230015">
            <w:r>
              <w:t>Demonstrates evidence (through specific strategies) of how they have updated their syllabus, teaching approach, course curriculum, etc. to enhance representation and retention of underrepresented groups</w:t>
            </w:r>
          </w:p>
        </w:tc>
      </w:tr>
      <w:tr w:rsidR="0049473C" w14:paraId="7BD67E99" w14:textId="77777777" w:rsidTr="003710A0">
        <w:tc>
          <w:tcPr>
            <w:tcW w:w="1698" w:type="dxa"/>
            <w:vMerge/>
          </w:tcPr>
          <w:p w14:paraId="5151C7F2" w14:textId="1D551DE6" w:rsidR="0049473C" w:rsidRPr="0085580B" w:rsidRDefault="0049473C" w:rsidP="00230015">
            <w:pPr>
              <w:rPr>
                <w:b/>
                <w:bCs/>
              </w:rPr>
            </w:pPr>
          </w:p>
        </w:tc>
        <w:tc>
          <w:tcPr>
            <w:tcW w:w="9092" w:type="dxa"/>
          </w:tcPr>
          <w:p w14:paraId="49707F75" w14:textId="6B2F2093" w:rsidR="0049473C" w:rsidRPr="0085580B" w:rsidRDefault="0049473C" w:rsidP="00230015">
            <w:r>
              <w:t>Demonstrates engagement in long-term mentorship program(s) that supports underrepresented groups</w:t>
            </w:r>
          </w:p>
        </w:tc>
      </w:tr>
      <w:tr w:rsidR="0049473C" w14:paraId="61C8D4B2" w14:textId="77777777" w:rsidTr="0049473C">
        <w:tc>
          <w:tcPr>
            <w:tcW w:w="1698" w:type="dxa"/>
            <w:vMerge/>
            <w:tcBorders>
              <w:bottom w:val="single" w:sz="4" w:space="0" w:color="auto"/>
            </w:tcBorders>
          </w:tcPr>
          <w:p w14:paraId="0953D6FD" w14:textId="297D4873" w:rsidR="0049473C" w:rsidRPr="0085580B" w:rsidRDefault="0049473C" w:rsidP="00230015">
            <w:pPr>
              <w:rPr>
                <w:b/>
                <w:bCs/>
              </w:rPr>
            </w:pPr>
          </w:p>
        </w:tc>
        <w:tc>
          <w:tcPr>
            <w:tcW w:w="9092" w:type="dxa"/>
            <w:tcBorders>
              <w:bottom w:val="single" w:sz="4" w:space="0" w:color="auto"/>
            </w:tcBorders>
          </w:tcPr>
          <w:p w14:paraId="706B5C82" w14:textId="0A018FEE" w:rsidR="0049473C" w:rsidRPr="0085580B" w:rsidRDefault="0049473C" w:rsidP="00230015">
            <w:r>
              <w:t xml:space="preserve">Identifies continued commitment towards evaluating and assessing inclusive teaching practices and offers suggestions on how </w:t>
            </w:r>
          </w:p>
        </w:tc>
      </w:tr>
      <w:tr w:rsidR="00230015" w14:paraId="1360524E" w14:textId="77777777" w:rsidTr="0049473C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93585" w14:textId="77777777" w:rsidR="00230015" w:rsidRPr="0085580B" w:rsidRDefault="00230015" w:rsidP="00230015">
            <w:pPr>
              <w:rPr>
                <w:b/>
                <w:bCs/>
              </w:rPr>
            </w:pPr>
          </w:p>
        </w:tc>
        <w:tc>
          <w:tcPr>
            <w:tcW w:w="9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6F84B" w14:textId="77777777" w:rsidR="00230015" w:rsidRPr="0085580B" w:rsidRDefault="00230015" w:rsidP="00230015"/>
        </w:tc>
      </w:tr>
      <w:tr w:rsidR="00230015" w14:paraId="392ECB48" w14:textId="77777777" w:rsidTr="0049473C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14:paraId="2AF5F7C3" w14:textId="415A969E" w:rsidR="00230015" w:rsidRDefault="00230015" w:rsidP="00230015">
            <w:r>
              <w:rPr>
                <w:b/>
                <w:bCs/>
                <w:sz w:val="32"/>
                <w:szCs w:val="32"/>
              </w:rPr>
              <w:t>Plans for Advancing Diversity, Equity, and Inclusion</w:t>
            </w:r>
          </w:p>
        </w:tc>
      </w:tr>
      <w:tr w:rsidR="0049473C" w14:paraId="7F836305" w14:textId="77777777" w:rsidTr="0049473C">
        <w:tc>
          <w:tcPr>
            <w:tcW w:w="1698" w:type="dxa"/>
            <w:vMerge w:val="restart"/>
            <w:vAlign w:val="center"/>
          </w:tcPr>
          <w:p w14:paraId="14DB284A" w14:textId="6CC94B51" w:rsidR="0049473C" w:rsidRPr="0049473C" w:rsidRDefault="0049473C" w:rsidP="0049473C">
            <w:pPr>
              <w:rPr>
                <w:b/>
                <w:bCs/>
                <w:sz w:val="28"/>
                <w:szCs w:val="28"/>
              </w:rPr>
            </w:pPr>
            <w:r w:rsidRPr="0049473C">
              <w:rPr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9092" w:type="dxa"/>
          </w:tcPr>
          <w:p w14:paraId="36A5538F" w14:textId="614F37EA" w:rsidR="0049473C" w:rsidRPr="0085580B" w:rsidRDefault="0049473C" w:rsidP="00230015">
            <w:r>
              <w:t xml:space="preserve">Does not </w:t>
            </w:r>
            <w:r w:rsidR="00EC1B6C">
              <w:t>verbalize</w:t>
            </w:r>
            <w:r>
              <w:t xml:space="preserve"> a plan for advancing DEI beyond general expectations for all faculty</w:t>
            </w:r>
            <w:r w:rsidR="001F19AD">
              <w:t xml:space="preserve"> as outlined by </w:t>
            </w:r>
            <w:hyperlink r:id="rId9" w:history="1">
              <w:r w:rsidR="001F19AD" w:rsidRPr="0002647A">
                <w:rPr>
                  <w:rStyle w:val="Hyperlink"/>
                </w:rPr>
                <w:t>The Department of Biology</w:t>
              </w:r>
            </w:hyperlink>
            <w:r>
              <w:t xml:space="preserve"> (no personal agency)</w:t>
            </w:r>
          </w:p>
        </w:tc>
      </w:tr>
      <w:tr w:rsidR="0049473C" w14:paraId="4326029B" w14:textId="77777777" w:rsidTr="0049473C">
        <w:tc>
          <w:tcPr>
            <w:tcW w:w="1698" w:type="dxa"/>
            <w:vMerge/>
            <w:vAlign w:val="center"/>
          </w:tcPr>
          <w:p w14:paraId="2378585D" w14:textId="4919ED13" w:rsidR="0049473C" w:rsidRPr="0049473C" w:rsidRDefault="0049473C" w:rsidP="004947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2" w:type="dxa"/>
          </w:tcPr>
          <w:p w14:paraId="5AE2A021" w14:textId="541DAFD1" w:rsidR="0049473C" w:rsidRPr="0085580B" w:rsidRDefault="0049473C" w:rsidP="00230015">
            <w:r>
              <w:t xml:space="preserve">Describes a vague plan for how they will create an inclusive </w:t>
            </w:r>
            <w:r w:rsidR="00144781">
              <w:t xml:space="preserve">classroom or lab </w:t>
            </w:r>
            <w:r>
              <w:t xml:space="preserve">space without clear actionable items that they intend to accomplish to reach that goal. </w:t>
            </w:r>
            <w:r w:rsidR="00144781">
              <w:t>The plan</w:t>
            </w:r>
            <w:r>
              <w:t xml:space="preserve"> lacks detail/purpose (e.g., if "outreach" is proposed, there is no mention of the specific target, the type of engagement, </w:t>
            </w:r>
            <w:r w:rsidR="00077905">
              <w:t>or</w:t>
            </w:r>
            <w:r>
              <w:t xml:space="preserve"> expected outcomes)</w:t>
            </w:r>
          </w:p>
        </w:tc>
      </w:tr>
      <w:tr w:rsidR="00230015" w14:paraId="4A360A61" w14:textId="77777777" w:rsidTr="0049473C">
        <w:tc>
          <w:tcPr>
            <w:tcW w:w="1698" w:type="dxa"/>
            <w:vAlign w:val="center"/>
          </w:tcPr>
          <w:p w14:paraId="588ACDC8" w14:textId="78CEB8C5" w:rsidR="00230015" w:rsidRPr="0049473C" w:rsidRDefault="00230015" w:rsidP="0049473C">
            <w:pPr>
              <w:rPr>
                <w:b/>
                <w:bCs/>
                <w:sz w:val="28"/>
                <w:szCs w:val="28"/>
              </w:rPr>
            </w:pPr>
            <w:r w:rsidRPr="0049473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92" w:type="dxa"/>
          </w:tcPr>
          <w:p w14:paraId="60056665" w14:textId="51F9CF22" w:rsidR="00230015" w:rsidRPr="0085580B" w:rsidRDefault="00230015" w:rsidP="00230015">
            <w:r>
              <w:t xml:space="preserve">Mentions plans or ideas </w:t>
            </w:r>
            <w:r w:rsidR="008E645B">
              <w:t>they intend to implement</w:t>
            </w:r>
            <w:r w:rsidR="002B7043">
              <w:t xml:space="preserve"> to advance DEI</w:t>
            </w:r>
            <w:r w:rsidR="00DC30F8">
              <w:t xml:space="preserve"> and provides clear and detailed ideas for what existing programs they would get involved with (with reference to current activities/limitations) </w:t>
            </w:r>
            <w:r w:rsidR="008E153C">
              <w:t>as appropriate for their academic rank</w:t>
            </w:r>
          </w:p>
        </w:tc>
      </w:tr>
      <w:tr w:rsidR="0049473C" w14:paraId="11906FAB" w14:textId="77777777" w:rsidTr="0049473C">
        <w:tc>
          <w:tcPr>
            <w:tcW w:w="1698" w:type="dxa"/>
            <w:vMerge w:val="restart"/>
            <w:vAlign w:val="center"/>
          </w:tcPr>
          <w:p w14:paraId="44FFE5A8" w14:textId="4F4FE754" w:rsidR="0049473C" w:rsidRPr="0049473C" w:rsidRDefault="0049473C" w:rsidP="0049473C">
            <w:pPr>
              <w:rPr>
                <w:b/>
                <w:bCs/>
                <w:sz w:val="28"/>
                <w:szCs w:val="28"/>
              </w:rPr>
            </w:pPr>
            <w:r w:rsidRPr="0049473C">
              <w:rPr>
                <w:b/>
                <w:bCs/>
                <w:sz w:val="28"/>
                <w:szCs w:val="28"/>
              </w:rPr>
              <w:t>4-5</w:t>
            </w:r>
          </w:p>
        </w:tc>
        <w:tc>
          <w:tcPr>
            <w:tcW w:w="9092" w:type="dxa"/>
          </w:tcPr>
          <w:p w14:paraId="281A3C85" w14:textId="4CE5680B" w:rsidR="0049473C" w:rsidRPr="0085580B" w:rsidRDefault="0049473C" w:rsidP="00230015">
            <w:r>
              <w:t>Describes new ideas they have for advancing equity and inclusion within their field, through their research, teaching, and/or service</w:t>
            </w:r>
          </w:p>
        </w:tc>
      </w:tr>
      <w:tr w:rsidR="0049473C" w14:paraId="2B3DD632" w14:textId="77777777" w:rsidTr="003710A0">
        <w:tc>
          <w:tcPr>
            <w:tcW w:w="1698" w:type="dxa"/>
            <w:vMerge/>
          </w:tcPr>
          <w:p w14:paraId="5FF705C3" w14:textId="5BB66083" w:rsidR="0049473C" w:rsidRPr="0085580B" w:rsidRDefault="0049473C" w:rsidP="00230015">
            <w:pPr>
              <w:rPr>
                <w:b/>
                <w:bCs/>
              </w:rPr>
            </w:pPr>
          </w:p>
        </w:tc>
        <w:tc>
          <w:tcPr>
            <w:tcW w:w="9092" w:type="dxa"/>
          </w:tcPr>
          <w:p w14:paraId="22A4E6FA" w14:textId="18D87897" w:rsidR="0049473C" w:rsidRPr="0085580B" w:rsidRDefault="0049473C" w:rsidP="00230015">
            <w:r>
              <w:t>Addresses multiple areas of need (for example, classroom climate, the laboratory, conferences)</w:t>
            </w:r>
          </w:p>
        </w:tc>
      </w:tr>
      <w:tr w:rsidR="0049473C" w14:paraId="05951403" w14:textId="77777777" w:rsidTr="003710A0">
        <w:tc>
          <w:tcPr>
            <w:tcW w:w="1698" w:type="dxa"/>
            <w:vMerge/>
          </w:tcPr>
          <w:p w14:paraId="02C10BAA" w14:textId="6D7C58A9" w:rsidR="0049473C" w:rsidRPr="0085580B" w:rsidRDefault="0049473C" w:rsidP="00230015">
            <w:pPr>
              <w:rPr>
                <w:b/>
                <w:bCs/>
              </w:rPr>
            </w:pPr>
          </w:p>
        </w:tc>
        <w:tc>
          <w:tcPr>
            <w:tcW w:w="9092" w:type="dxa"/>
          </w:tcPr>
          <w:p w14:paraId="42E9274A" w14:textId="3C40B795" w:rsidR="0049473C" w:rsidRPr="0085580B" w:rsidRDefault="0049473C" w:rsidP="00230015">
            <w:r>
              <w:t>Presents clear way of evaluating plans along with their impact. May also describe the growth of their plan over time</w:t>
            </w:r>
          </w:p>
        </w:tc>
      </w:tr>
    </w:tbl>
    <w:p w14:paraId="0E2E5260" w14:textId="20544630" w:rsidR="008E0BB3" w:rsidRDefault="008E0BB3" w:rsidP="008E0BB3"/>
    <w:p w14:paraId="399926FD" w14:textId="32613736" w:rsidR="002425BD" w:rsidRPr="006C1926" w:rsidRDefault="002425BD" w:rsidP="002425BD">
      <w:r>
        <w:t xml:space="preserve">This rubric has been adapted from </w:t>
      </w:r>
      <w:hyperlink r:id="rId10" w:history="1">
        <w:r w:rsidRPr="004B7222">
          <w:rPr>
            <w:rStyle w:val="Hyperlink"/>
          </w:rPr>
          <w:t>Berkeley’s Rubric for Assessing Candidate Contributions to Diversity, Equity, and Inclusion</w:t>
        </w:r>
      </w:hyperlink>
      <w:r>
        <w:t xml:space="preserve">, </w:t>
      </w:r>
      <w:hyperlink r:id="rId11" w:history="1">
        <w:r w:rsidRPr="00822BD4">
          <w:rPr>
            <w:rStyle w:val="Hyperlink"/>
          </w:rPr>
          <w:t>University of Michigan Center for Research on Learning and Teaching (CRLT) and Rackham Graduate School’s  Diversity Statement Evaluation Rubric</w:t>
        </w:r>
      </w:hyperlink>
      <w:r>
        <w:t xml:space="preserve">, </w:t>
      </w:r>
      <w:hyperlink r:id="rId12" w:history="1">
        <w:r w:rsidRPr="002425BD">
          <w:rPr>
            <w:rStyle w:val="Hyperlink"/>
          </w:rPr>
          <w:t>5 Don’ts in Writing Your DEI Statement</w:t>
        </w:r>
      </w:hyperlink>
      <w:r>
        <w:t>, and Sylvester et al. 2019 (</w:t>
      </w:r>
      <w:r w:rsidRPr="001049E3">
        <w:t xml:space="preserve">DOI: </w:t>
      </w:r>
      <w:hyperlink r:id="rId13" w:history="1">
        <w:r w:rsidRPr="009E4041">
          <w:rPr>
            <w:rStyle w:val="Hyperlink"/>
          </w:rPr>
          <w:t>http://dx.doi.org/10.3998/currents.17387731.0001.112</w:t>
        </w:r>
      </w:hyperlink>
      <w:r>
        <w:t>).</w:t>
      </w:r>
    </w:p>
    <w:p w14:paraId="5C155635" w14:textId="0EF92823" w:rsidR="002425BD" w:rsidRDefault="002425BD" w:rsidP="008E0BB3"/>
    <w:p w14:paraId="0785916C" w14:textId="2A289362" w:rsidR="00927C23" w:rsidRPr="00927C23" w:rsidRDefault="00927C23" w:rsidP="00927C23"/>
    <w:p w14:paraId="71AAE473" w14:textId="440B056A" w:rsidR="00927C23" w:rsidRPr="00927C23" w:rsidRDefault="00927C23" w:rsidP="00927C23"/>
    <w:p w14:paraId="75DB943D" w14:textId="03D2D51C" w:rsidR="00927C23" w:rsidRPr="00927C23" w:rsidRDefault="00927C23" w:rsidP="00927C23"/>
    <w:p w14:paraId="4A464AD8" w14:textId="05B218BD" w:rsidR="00927C23" w:rsidRPr="00927C23" w:rsidRDefault="00927C23" w:rsidP="00927C23">
      <w:pPr>
        <w:tabs>
          <w:tab w:val="left" w:pos="1848"/>
        </w:tabs>
      </w:pPr>
      <w:r>
        <w:tab/>
      </w:r>
    </w:p>
    <w:sectPr w:rsidR="00927C23" w:rsidRPr="00927C23" w:rsidSect="007633B0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7D935" w16cex:dateUtc="2020-12-31T10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E981E" w14:textId="77777777" w:rsidR="00402008" w:rsidRDefault="00402008" w:rsidP="00F80F5A">
      <w:pPr>
        <w:spacing w:after="0" w:line="240" w:lineRule="auto"/>
      </w:pPr>
      <w:r>
        <w:separator/>
      </w:r>
    </w:p>
  </w:endnote>
  <w:endnote w:type="continuationSeparator" w:id="0">
    <w:p w14:paraId="30F7F6C1" w14:textId="77777777" w:rsidR="00402008" w:rsidRDefault="00402008" w:rsidP="00F8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EE2B" w14:textId="5148AD6A" w:rsidR="00F80F5A" w:rsidRDefault="00F80F5A">
    <w:pPr>
      <w:pStyle w:val="Footer"/>
    </w:pPr>
    <w:r>
      <w:t>VERSION</w:t>
    </w:r>
    <w:r w:rsidR="007633B0">
      <w:t xml:space="preserve"> 202</w:t>
    </w:r>
    <w:r w:rsidR="002425BD">
      <w:t>1-01-0</w:t>
    </w:r>
    <w:r w:rsidR="00927C23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02D24" w14:textId="77777777" w:rsidR="00402008" w:rsidRDefault="00402008" w:rsidP="00F80F5A">
      <w:pPr>
        <w:spacing w:after="0" w:line="240" w:lineRule="auto"/>
      </w:pPr>
      <w:r>
        <w:separator/>
      </w:r>
    </w:p>
  </w:footnote>
  <w:footnote w:type="continuationSeparator" w:id="0">
    <w:p w14:paraId="2DBF9A6B" w14:textId="77777777" w:rsidR="00402008" w:rsidRDefault="00402008" w:rsidP="00F80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9B"/>
    <w:rsid w:val="00003D0D"/>
    <w:rsid w:val="000114D0"/>
    <w:rsid w:val="0001553A"/>
    <w:rsid w:val="0001612E"/>
    <w:rsid w:val="0002187F"/>
    <w:rsid w:val="00025832"/>
    <w:rsid w:val="0002647A"/>
    <w:rsid w:val="00044297"/>
    <w:rsid w:val="00055286"/>
    <w:rsid w:val="00060FFA"/>
    <w:rsid w:val="00077905"/>
    <w:rsid w:val="00084619"/>
    <w:rsid w:val="00095EA8"/>
    <w:rsid w:val="000974A9"/>
    <w:rsid w:val="000A5096"/>
    <w:rsid w:val="000B21F8"/>
    <w:rsid w:val="000B76E7"/>
    <w:rsid w:val="000C1886"/>
    <w:rsid w:val="000C3EB4"/>
    <w:rsid w:val="000C7415"/>
    <w:rsid w:val="000E44F0"/>
    <w:rsid w:val="000E4AC5"/>
    <w:rsid w:val="001049E3"/>
    <w:rsid w:val="00121879"/>
    <w:rsid w:val="00124F25"/>
    <w:rsid w:val="00140B3A"/>
    <w:rsid w:val="00144781"/>
    <w:rsid w:val="0015082B"/>
    <w:rsid w:val="00150AC1"/>
    <w:rsid w:val="00152BF5"/>
    <w:rsid w:val="00163984"/>
    <w:rsid w:val="00164FDE"/>
    <w:rsid w:val="0018471E"/>
    <w:rsid w:val="00192405"/>
    <w:rsid w:val="001A137B"/>
    <w:rsid w:val="001A3D16"/>
    <w:rsid w:val="001A6589"/>
    <w:rsid w:val="001D6B4F"/>
    <w:rsid w:val="001E03EA"/>
    <w:rsid w:val="001E21FB"/>
    <w:rsid w:val="001E3E3C"/>
    <w:rsid w:val="001E5AF4"/>
    <w:rsid w:val="001F19AD"/>
    <w:rsid w:val="00201F19"/>
    <w:rsid w:val="002028E5"/>
    <w:rsid w:val="002064EF"/>
    <w:rsid w:val="00212F89"/>
    <w:rsid w:val="002212DF"/>
    <w:rsid w:val="00230015"/>
    <w:rsid w:val="002425BD"/>
    <w:rsid w:val="00251AA8"/>
    <w:rsid w:val="002542A5"/>
    <w:rsid w:val="002776CF"/>
    <w:rsid w:val="00277D87"/>
    <w:rsid w:val="002B7043"/>
    <w:rsid w:val="002B7B36"/>
    <w:rsid w:val="002C136C"/>
    <w:rsid w:val="002F7C0D"/>
    <w:rsid w:val="00300217"/>
    <w:rsid w:val="00310A95"/>
    <w:rsid w:val="00317A30"/>
    <w:rsid w:val="00324335"/>
    <w:rsid w:val="0033091D"/>
    <w:rsid w:val="003338FA"/>
    <w:rsid w:val="00334915"/>
    <w:rsid w:val="003357D7"/>
    <w:rsid w:val="00346E94"/>
    <w:rsid w:val="00354635"/>
    <w:rsid w:val="003710A0"/>
    <w:rsid w:val="00376791"/>
    <w:rsid w:val="0038519B"/>
    <w:rsid w:val="0039425C"/>
    <w:rsid w:val="003A1324"/>
    <w:rsid w:val="003A55D4"/>
    <w:rsid w:val="003A7B37"/>
    <w:rsid w:val="003B1792"/>
    <w:rsid w:val="003C09E5"/>
    <w:rsid w:val="003D2044"/>
    <w:rsid w:val="003E14E2"/>
    <w:rsid w:val="003E72E4"/>
    <w:rsid w:val="00402008"/>
    <w:rsid w:val="00463149"/>
    <w:rsid w:val="00481B9E"/>
    <w:rsid w:val="004866AD"/>
    <w:rsid w:val="0049473C"/>
    <w:rsid w:val="0049657F"/>
    <w:rsid w:val="004B7222"/>
    <w:rsid w:val="004C1F64"/>
    <w:rsid w:val="004C4B7E"/>
    <w:rsid w:val="004D186E"/>
    <w:rsid w:val="004D27CD"/>
    <w:rsid w:val="004D3855"/>
    <w:rsid w:val="004E0B79"/>
    <w:rsid w:val="005017D9"/>
    <w:rsid w:val="00510A4F"/>
    <w:rsid w:val="005147D3"/>
    <w:rsid w:val="005151CF"/>
    <w:rsid w:val="005575CE"/>
    <w:rsid w:val="00560E19"/>
    <w:rsid w:val="00564F90"/>
    <w:rsid w:val="00566463"/>
    <w:rsid w:val="005A1C6F"/>
    <w:rsid w:val="005B1AAE"/>
    <w:rsid w:val="005B3BEC"/>
    <w:rsid w:val="005C16E5"/>
    <w:rsid w:val="005E62FD"/>
    <w:rsid w:val="005E7145"/>
    <w:rsid w:val="00604589"/>
    <w:rsid w:val="006410CC"/>
    <w:rsid w:val="006439FB"/>
    <w:rsid w:val="0067444F"/>
    <w:rsid w:val="00692A0E"/>
    <w:rsid w:val="00696065"/>
    <w:rsid w:val="006C1926"/>
    <w:rsid w:val="006C237C"/>
    <w:rsid w:val="006D40C5"/>
    <w:rsid w:val="006E57A6"/>
    <w:rsid w:val="006F21CA"/>
    <w:rsid w:val="006F58AE"/>
    <w:rsid w:val="00700CE0"/>
    <w:rsid w:val="007023C4"/>
    <w:rsid w:val="00710092"/>
    <w:rsid w:val="00723D95"/>
    <w:rsid w:val="00723E79"/>
    <w:rsid w:val="007633B0"/>
    <w:rsid w:val="007968EB"/>
    <w:rsid w:val="007A13AB"/>
    <w:rsid w:val="007A1EA9"/>
    <w:rsid w:val="007A700A"/>
    <w:rsid w:val="007A7D2E"/>
    <w:rsid w:val="007B536F"/>
    <w:rsid w:val="007C3D93"/>
    <w:rsid w:val="007E34F6"/>
    <w:rsid w:val="008152F8"/>
    <w:rsid w:val="00820FDF"/>
    <w:rsid w:val="00822BD4"/>
    <w:rsid w:val="00822BDB"/>
    <w:rsid w:val="00825FB3"/>
    <w:rsid w:val="0083307B"/>
    <w:rsid w:val="00847E5B"/>
    <w:rsid w:val="00854DCC"/>
    <w:rsid w:val="0085580B"/>
    <w:rsid w:val="00885C17"/>
    <w:rsid w:val="008961D1"/>
    <w:rsid w:val="008A7485"/>
    <w:rsid w:val="008B198B"/>
    <w:rsid w:val="008C0C1D"/>
    <w:rsid w:val="008C2A7A"/>
    <w:rsid w:val="008C7744"/>
    <w:rsid w:val="008E0BB3"/>
    <w:rsid w:val="008E153C"/>
    <w:rsid w:val="008E5D6D"/>
    <w:rsid w:val="008E645B"/>
    <w:rsid w:val="008F1828"/>
    <w:rsid w:val="008F310C"/>
    <w:rsid w:val="009130C0"/>
    <w:rsid w:val="00927C23"/>
    <w:rsid w:val="009402C3"/>
    <w:rsid w:val="00941604"/>
    <w:rsid w:val="00943C0E"/>
    <w:rsid w:val="00943C2E"/>
    <w:rsid w:val="0094738E"/>
    <w:rsid w:val="009516DC"/>
    <w:rsid w:val="00970E35"/>
    <w:rsid w:val="00972044"/>
    <w:rsid w:val="00993C5C"/>
    <w:rsid w:val="00997C3E"/>
    <w:rsid w:val="009B5B31"/>
    <w:rsid w:val="009D156F"/>
    <w:rsid w:val="009D3FBE"/>
    <w:rsid w:val="009D600F"/>
    <w:rsid w:val="009D77B0"/>
    <w:rsid w:val="009E2081"/>
    <w:rsid w:val="009E3C74"/>
    <w:rsid w:val="009F0357"/>
    <w:rsid w:val="00A00CF3"/>
    <w:rsid w:val="00A10C0B"/>
    <w:rsid w:val="00A22176"/>
    <w:rsid w:val="00A235B1"/>
    <w:rsid w:val="00A43530"/>
    <w:rsid w:val="00A44DC6"/>
    <w:rsid w:val="00A5514D"/>
    <w:rsid w:val="00A64DB0"/>
    <w:rsid w:val="00A81C2F"/>
    <w:rsid w:val="00A9713A"/>
    <w:rsid w:val="00AA6267"/>
    <w:rsid w:val="00AE7C1D"/>
    <w:rsid w:val="00B04AF1"/>
    <w:rsid w:val="00B2107D"/>
    <w:rsid w:val="00B36F5A"/>
    <w:rsid w:val="00B520DF"/>
    <w:rsid w:val="00B53370"/>
    <w:rsid w:val="00B803EA"/>
    <w:rsid w:val="00B814B1"/>
    <w:rsid w:val="00B861CB"/>
    <w:rsid w:val="00B87306"/>
    <w:rsid w:val="00B94414"/>
    <w:rsid w:val="00BA05B0"/>
    <w:rsid w:val="00BC0B66"/>
    <w:rsid w:val="00BC277C"/>
    <w:rsid w:val="00BC4C5C"/>
    <w:rsid w:val="00BC5D01"/>
    <w:rsid w:val="00BC7F80"/>
    <w:rsid w:val="00BD5A03"/>
    <w:rsid w:val="00BE384B"/>
    <w:rsid w:val="00BE3B95"/>
    <w:rsid w:val="00BF4DED"/>
    <w:rsid w:val="00C0271E"/>
    <w:rsid w:val="00C17154"/>
    <w:rsid w:val="00C17C35"/>
    <w:rsid w:val="00C41D4F"/>
    <w:rsid w:val="00C42BBD"/>
    <w:rsid w:val="00C6121C"/>
    <w:rsid w:val="00C63647"/>
    <w:rsid w:val="00C81AD0"/>
    <w:rsid w:val="00C95620"/>
    <w:rsid w:val="00C95DD5"/>
    <w:rsid w:val="00CB7CA1"/>
    <w:rsid w:val="00CE650B"/>
    <w:rsid w:val="00D01C67"/>
    <w:rsid w:val="00D16F6C"/>
    <w:rsid w:val="00D32905"/>
    <w:rsid w:val="00D54108"/>
    <w:rsid w:val="00D56CE5"/>
    <w:rsid w:val="00D72A1A"/>
    <w:rsid w:val="00D92D50"/>
    <w:rsid w:val="00D9769B"/>
    <w:rsid w:val="00DB42B5"/>
    <w:rsid w:val="00DC1E4E"/>
    <w:rsid w:val="00DC2BF5"/>
    <w:rsid w:val="00DC30F8"/>
    <w:rsid w:val="00DC6093"/>
    <w:rsid w:val="00DD6C73"/>
    <w:rsid w:val="00DE5AD0"/>
    <w:rsid w:val="00DF0144"/>
    <w:rsid w:val="00DF38C0"/>
    <w:rsid w:val="00DF4DC8"/>
    <w:rsid w:val="00E0673B"/>
    <w:rsid w:val="00E14BDB"/>
    <w:rsid w:val="00E15F2D"/>
    <w:rsid w:val="00E37752"/>
    <w:rsid w:val="00E457B5"/>
    <w:rsid w:val="00E46E1A"/>
    <w:rsid w:val="00E47E60"/>
    <w:rsid w:val="00E550CB"/>
    <w:rsid w:val="00E944AA"/>
    <w:rsid w:val="00EC1B6C"/>
    <w:rsid w:val="00EC44AC"/>
    <w:rsid w:val="00ED3BDF"/>
    <w:rsid w:val="00ED3CC6"/>
    <w:rsid w:val="00EE0F9A"/>
    <w:rsid w:val="00EF5F4F"/>
    <w:rsid w:val="00F00DCF"/>
    <w:rsid w:val="00F077B8"/>
    <w:rsid w:val="00F11208"/>
    <w:rsid w:val="00F1356B"/>
    <w:rsid w:val="00F15EFD"/>
    <w:rsid w:val="00F25D73"/>
    <w:rsid w:val="00F41813"/>
    <w:rsid w:val="00F46B94"/>
    <w:rsid w:val="00F73B8A"/>
    <w:rsid w:val="00F80F5A"/>
    <w:rsid w:val="00F91D69"/>
    <w:rsid w:val="00FA1C90"/>
    <w:rsid w:val="00FA1F54"/>
    <w:rsid w:val="00FE64A2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408E3"/>
  <w15:chartTrackingRefBased/>
  <w15:docId w15:val="{06F773DF-17A1-4077-B6A1-2CE1070A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F5A"/>
  </w:style>
  <w:style w:type="paragraph" w:styleId="Footer">
    <w:name w:val="footer"/>
    <w:basedOn w:val="Normal"/>
    <w:link w:val="FooterChar"/>
    <w:uiPriority w:val="99"/>
    <w:unhideWhenUsed/>
    <w:rsid w:val="00F80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F5A"/>
  </w:style>
  <w:style w:type="paragraph" w:styleId="Title">
    <w:name w:val="Title"/>
    <w:basedOn w:val="Normal"/>
    <w:next w:val="Normal"/>
    <w:link w:val="TitleChar"/>
    <w:uiPriority w:val="10"/>
    <w:qFormat/>
    <w:rsid w:val="007633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33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2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1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2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3F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3998/currents.17387731.0001.112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chronicle.com/article/5-donts-in-writing-your-dei-statement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s.lsa.umich.edu/nextprof-science/wp-content/uploads/sites/130/2020/04/Diversity-Statement-Rubric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few.berkeley.edu/recruitment/contributions-diversity/rubric-assessing-candidate-contributions-diversity-equity-an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iology.emory.edu/biology-at-emor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A72CC071DCD48A01B85FC7BC66813" ma:contentTypeVersion="13" ma:contentTypeDescription="Create a new document." ma:contentTypeScope="" ma:versionID="7fe41449a42cf437f676086956d14384">
  <xsd:schema xmlns:xsd="http://www.w3.org/2001/XMLSchema" xmlns:xs="http://www.w3.org/2001/XMLSchema" xmlns:p="http://schemas.microsoft.com/office/2006/metadata/properties" xmlns:ns3="f424cb88-22ee-485c-9a7c-58e5ef3866ea" xmlns:ns4="507a14c6-d069-45d3-ba8f-16b0f50fe92d" targetNamespace="http://schemas.microsoft.com/office/2006/metadata/properties" ma:root="true" ma:fieldsID="610354bb677454f239ce97a83d93f435" ns3:_="" ns4:_="">
    <xsd:import namespace="f424cb88-22ee-485c-9a7c-58e5ef3866ea"/>
    <xsd:import namespace="507a14c6-d069-45d3-ba8f-16b0f50fe9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4cb88-22ee-485c-9a7c-58e5ef386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a14c6-d069-45d3-ba8f-16b0f50fe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4FC7A-483D-433A-9D7E-97609BB60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6E6256-ED38-4133-9962-067998A68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3A073-8A36-4BE2-8F8F-9AF49AF4A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4cb88-22ee-485c-9a7c-58e5ef3866ea"/>
    <ds:schemaRef ds:uri="507a14c6-d069-45d3-ba8f-16b0f50fe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Karena Ha;kyle.thomas2@emory.edu</dc:creator>
  <cp:keywords/>
  <dc:description/>
  <cp:lastModifiedBy>Corbett, Anita</cp:lastModifiedBy>
  <cp:revision>2</cp:revision>
  <dcterms:created xsi:type="dcterms:W3CDTF">2021-01-26T19:02:00Z</dcterms:created>
  <dcterms:modified xsi:type="dcterms:W3CDTF">2021-01-26T19:02:00Z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0x010100444A72CC071DCD48A01B85FC7BC66813</vt:lpwstr>
  </property>
</Properties>
</file>