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F3A6" w14:textId="77777777" w:rsidR="0029446B" w:rsidRDefault="0029446B" w:rsidP="0029446B">
      <w:pPr>
        <w:rPr>
          <w:sz w:val="21"/>
          <w:szCs w:val="21"/>
        </w:rPr>
      </w:pPr>
      <w:r>
        <w:rPr>
          <w:sz w:val="21"/>
          <w:szCs w:val="21"/>
        </w:rPr>
        <w:t>Background information and annotated references</w:t>
      </w:r>
    </w:p>
    <w:p w14:paraId="4246D0D1" w14:textId="77777777" w:rsidR="0029446B" w:rsidRDefault="0029446B" w:rsidP="0029446B">
      <w:pPr>
        <w:rPr>
          <w:sz w:val="21"/>
          <w:szCs w:val="21"/>
        </w:rPr>
      </w:pPr>
    </w:p>
    <w:p w14:paraId="31C5B908" w14:textId="77777777" w:rsidR="0029446B" w:rsidRDefault="0029446B" w:rsidP="0029446B">
      <w:pPr>
        <w:rPr>
          <w:sz w:val="21"/>
          <w:szCs w:val="21"/>
        </w:rPr>
      </w:pPr>
      <w:r>
        <w:rPr>
          <w:sz w:val="21"/>
          <w:szCs w:val="21"/>
        </w:rPr>
        <w:t xml:space="preserve">UDL provides evidence-based solutions that address barriers to student success ranging from physical accessibility of the classroom to cognitive access to cultivation of learner self-efficacy (Meyer et al., 2014). Removing these barriers can create more inclusive STEM classrooms which can increase motivation and improve learner outcomes (Dewsbury &amp; </w:t>
      </w:r>
      <w:proofErr w:type="spellStart"/>
      <w:r>
        <w:rPr>
          <w:sz w:val="21"/>
          <w:szCs w:val="21"/>
        </w:rPr>
        <w:t>Brame</w:t>
      </w:r>
      <w:proofErr w:type="spellEnd"/>
      <w:r>
        <w:rPr>
          <w:sz w:val="21"/>
          <w:szCs w:val="21"/>
        </w:rPr>
        <w:t xml:space="preserve"> 2019; Rao et al., 2014; </w:t>
      </w:r>
      <w:proofErr w:type="spellStart"/>
      <w:r>
        <w:rPr>
          <w:sz w:val="21"/>
          <w:szCs w:val="21"/>
        </w:rPr>
        <w:t>Schreffler</w:t>
      </w:r>
      <w:proofErr w:type="spellEnd"/>
      <w:r>
        <w:rPr>
          <w:sz w:val="21"/>
          <w:szCs w:val="21"/>
        </w:rPr>
        <w:t xml:space="preserve"> et al., 2019; Yeager et al., 2019). UDL can address the likely future need of more flexible and adaptable learning experiences (Meyer et al., 2014; Wong, 2020). UDL principles also help students develop critical thinking skills, problem solving skills and metacognition (</w:t>
      </w:r>
      <w:proofErr w:type="spellStart"/>
      <w:r>
        <w:rPr>
          <w:sz w:val="21"/>
          <w:szCs w:val="21"/>
        </w:rPr>
        <w:t>Orndorf</w:t>
      </w:r>
      <w:proofErr w:type="spellEnd"/>
      <w:r>
        <w:rPr>
          <w:sz w:val="21"/>
          <w:szCs w:val="21"/>
        </w:rPr>
        <w:t xml:space="preserve"> et al 2022)). </w:t>
      </w:r>
    </w:p>
    <w:p w14:paraId="095834A3" w14:textId="77777777" w:rsidR="0029446B" w:rsidRDefault="0029446B" w:rsidP="0029446B">
      <w:pPr>
        <w:rPr>
          <w:sz w:val="21"/>
          <w:szCs w:val="21"/>
        </w:rPr>
      </w:pPr>
    </w:p>
    <w:p w14:paraId="17E804B1" w14:textId="77777777" w:rsidR="0029446B" w:rsidRDefault="0029446B" w:rsidP="0029446B">
      <w:pPr>
        <w:rPr>
          <w:sz w:val="21"/>
          <w:szCs w:val="21"/>
        </w:rPr>
      </w:pPr>
      <w:r>
        <w:rPr>
          <w:sz w:val="21"/>
          <w:szCs w:val="21"/>
        </w:rPr>
        <w:t>The UDL framework presents its guidelines through a goal-focused approach that allows faculty to identify where they have already implemented UDL and identify future applications that will be most impactful to their learners (Tobin &amp; Behling, 2018). This approach leads to better outcomes for learners and reduced frustration for instructors (Kumar &amp; Wideman, 2014; Rao et al., 2014).</w:t>
      </w:r>
    </w:p>
    <w:p w14:paraId="3B08CBF9" w14:textId="77777777" w:rsidR="0029446B" w:rsidRDefault="0029446B" w:rsidP="0029446B">
      <w:pPr>
        <w:rPr>
          <w:sz w:val="21"/>
          <w:szCs w:val="21"/>
        </w:rPr>
      </w:pPr>
    </w:p>
    <w:p w14:paraId="5B85E8D8" w14:textId="77777777" w:rsidR="0029446B" w:rsidRDefault="0029446B" w:rsidP="0029446B">
      <w:pPr>
        <w:rPr>
          <w:sz w:val="21"/>
          <w:szCs w:val="21"/>
        </w:rPr>
      </w:pPr>
      <w:r>
        <w:rPr>
          <w:sz w:val="21"/>
          <w:szCs w:val="21"/>
        </w:rPr>
        <w:t xml:space="preserve">UDL specifically addresses </w:t>
      </w:r>
      <w:r>
        <w:rPr>
          <w:b/>
          <w:sz w:val="21"/>
          <w:szCs w:val="21"/>
        </w:rPr>
        <w:t>access</w:t>
      </w:r>
      <w:r>
        <w:rPr>
          <w:sz w:val="21"/>
          <w:szCs w:val="21"/>
        </w:rPr>
        <w:t xml:space="preserve"> to ensure learners can physically engage with materials, and where “accessibility” issues are addressed. Access also includes ensuring the learning environment provides relevance and authenticity for students, offers multiple formats for interacting with material (e.g. text and audio), and uses technology that is designed for a broad range of users (e.g. options for using mouse commands and keyboard shortcuts). UDL advocates that faculty provide learning environments that support student persistence, provide disciplinary expertise by clarifying and “decoding” disciplinary information, and scaffold students’ ability to demonstrate mastery of disciplinary practices. It focuses on the development of higher order learning and metacognitive skills that support students in becoming experts in how they learn. Skills include self-regulation, developing coping skills and strategies, ability to transfer knowledge across domains, engagement in disciplinary core concepts, and the application of appropriate metacognitive practices to enhance learning. The UDL Framework is available on the CAST website, and a rubric exploring each aspect deeply is available (Novak and Rodriguez, 2018).</w:t>
      </w:r>
    </w:p>
    <w:p w14:paraId="3B429B0F" w14:textId="77777777" w:rsidR="0029446B" w:rsidRDefault="0029446B" w:rsidP="0029446B">
      <w:pPr>
        <w:rPr>
          <w:sz w:val="21"/>
          <w:szCs w:val="21"/>
        </w:rPr>
      </w:pPr>
    </w:p>
    <w:p w14:paraId="05435A35" w14:textId="77777777" w:rsidR="0029446B" w:rsidRDefault="0029446B" w:rsidP="0029446B">
      <w:pPr>
        <w:rPr>
          <w:rStyle w:val="Hyperlink"/>
        </w:rPr>
      </w:pPr>
      <w:r w:rsidRPr="00DB5F25">
        <w:t xml:space="preserve">CAST. (2018). </w:t>
      </w:r>
      <w:r w:rsidRPr="00DB5F25">
        <w:rPr>
          <w:b/>
          <w:bCs/>
        </w:rPr>
        <w:t>Universal Design for Learning guidelines, version 2.2</w:t>
      </w:r>
      <w:r w:rsidRPr="00DB5F25">
        <w:t xml:space="preserve">. Retrieved June 3, 2021, from </w:t>
      </w:r>
      <w:hyperlink r:id="rId4" w:tgtFrame="_blank" w:history="1">
        <w:r w:rsidRPr="00DB5F25">
          <w:rPr>
            <w:rStyle w:val="Hyperlink"/>
          </w:rPr>
          <w:t>http://udlguidelines.cast.org</w:t>
        </w:r>
      </w:hyperlink>
      <w:r w:rsidRPr="00DB5F25">
        <w:t xml:space="preserve"> </w:t>
      </w:r>
      <w:hyperlink r:id="rId5" w:tgtFrame="_blank" w:history="1">
        <w:r w:rsidRPr="00DB5F25">
          <w:rPr>
            <w:rStyle w:val="Hyperlink"/>
          </w:rPr>
          <w:t>Google Scholar</w:t>
        </w:r>
      </w:hyperlink>
    </w:p>
    <w:p w14:paraId="40F741A8" w14:textId="77777777" w:rsidR="00004222" w:rsidRDefault="00004222" w:rsidP="00004222"/>
    <w:p w14:paraId="03E848DF" w14:textId="20C50255" w:rsidR="0029446B" w:rsidRDefault="0029446B" w:rsidP="00004222">
      <w:r>
        <w:t xml:space="preserve">CAST. (2011). </w:t>
      </w:r>
      <w:r>
        <w:rPr>
          <w:i/>
        </w:rPr>
        <w:t>Universal Design for Learning Guidelines version 2.0.</w:t>
      </w:r>
      <w:r>
        <w:t xml:space="preserve"> Wakefield, MA.</w:t>
      </w:r>
    </w:p>
    <w:p w14:paraId="1C74D1EE" w14:textId="77777777" w:rsidR="00F95F74" w:rsidRDefault="00F95F74" w:rsidP="00F95F74"/>
    <w:p w14:paraId="1AEB2EEE" w14:textId="2362B2DF" w:rsidR="0029446B" w:rsidRDefault="0029446B" w:rsidP="00F95F74">
      <w:r>
        <w:t xml:space="preserve">Chardin, M., &amp; Novak, K. (2021). </w:t>
      </w:r>
      <w:r>
        <w:rPr>
          <w:i/>
        </w:rPr>
        <w:t>Equity by design Delivering on the power and promise of UDL</w:t>
      </w:r>
      <w:r>
        <w:t>. Corwin A Sage Company.</w:t>
      </w:r>
    </w:p>
    <w:p w14:paraId="622AEA13" w14:textId="3BD7897F" w:rsidR="00F95F74" w:rsidRDefault="0029446B" w:rsidP="00F95F74">
      <w:pPr>
        <w:pStyle w:val="NormalWeb"/>
        <w:spacing w:before="0" w:beforeAutospacing="0" w:after="200" w:afterAutospacing="0"/>
        <w:rPr>
          <w:rFonts w:ascii="Arial" w:hAnsi="Arial" w:cs="Arial"/>
          <w:color w:val="000000"/>
          <w:sz w:val="20"/>
          <w:szCs w:val="20"/>
        </w:rPr>
      </w:pPr>
      <w:r>
        <w:rPr>
          <w:rStyle w:val="a-size-base"/>
        </w:rPr>
        <w:t>This book is a guide for designing and implementing culturally responsive and equitable learning experiences. It has explicit strategies and examples, uses research as well as the voices of educators/students practicing Universally Designed social justice.</w:t>
      </w:r>
      <w:r w:rsidR="00F95F74">
        <w:rPr>
          <w:rStyle w:val="a-size-base"/>
        </w:rPr>
        <w:t xml:space="preserve"> Although designed for K12 education, college instructors will find many good examples and thoughtful reflection </w:t>
      </w:r>
      <w:proofErr w:type="gramStart"/>
      <w:r w:rsidR="00F95F74">
        <w:rPr>
          <w:rStyle w:val="a-size-base"/>
        </w:rPr>
        <w:t>exercises  about</w:t>
      </w:r>
      <w:proofErr w:type="gramEnd"/>
      <w:r w:rsidR="00F95F74">
        <w:rPr>
          <w:rStyle w:val="a-size-base"/>
        </w:rPr>
        <w:t xml:space="preserve"> teaching practices.</w:t>
      </w:r>
      <w:r>
        <w:br/>
      </w:r>
    </w:p>
    <w:p w14:paraId="4B740FBE" w14:textId="56C2A267" w:rsidR="0029446B" w:rsidRPr="00F95F74" w:rsidRDefault="00F95F74" w:rsidP="00F95F74">
      <w:pPr>
        <w:pStyle w:val="NormalWeb"/>
        <w:spacing w:before="0" w:beforeAutospacing="0" w:after="200" w:afterAutospacing="0"/>
        <w:rPr>
          <w:rFonts w:ascii="Arial" w:hAnsi="Arial" w:cs="Arial"/>
          <w:color w:val="1155CC"/>
          <w:sz w:val="20"/>
          <w:szCs w:val="20"/>
          <w:u w:val="single"/>
        </w:rPr>
      </w:pPr>
      <w:r>
        <w:rPr>
          <w:rFonts w:ascii="Arial" w:hAnsi="Arial" w:cs="Arial"/>
          <w:color w:val="000000"/>
          <w:sz w:val="20"/>
          <w:szCs w:val="20"/>
        </w:rPr>
        <w:t xml:space="preserve">Dou, R. (2021). </w:t>
      </w:r>
      <w:r>
        <w:rPr>
          <w:rFonts w:ascii="Arial" w:hAnsi="Arial" w:cs="Arial"/>
          <w:i/>
          <w:iCs/>
          <w:color w:val="000000"/>
          <w:sz w:val="20"/>
          <w:szCs w:val="20"/>
        </w:rPr>
        <w:t xml:space="preserve">Constructing STEM </w:t>
      </w:r>
      <w:proofErr w:type="gramStart"/>
      <w:r>
        <w:rPr>
          <w:rFonts w:ascii="Arial" w:hAnsi="Arial" w:cs="Arial"/>
          <w:i/>
          <w:iCs/>
          <w:color w:val="000000"/>
          <w:sz w:val="20"/>
          <w:szCs w:val="20"/>
        </w:rPr>
        <w:t>identity :</w:t>
      </w:r>
      <w:proofErr w:type="gramEnd"/>
      <w:r>
        <w:rPr>
          <w:rFonts w:ascii="Arial" w:hAnsi="Arial" w:cs="Arial"/>
          <w:i/>
          <w:iCs/>
          <w:color w:val="000000"/>
          <w:sz w:val="20"/>
          <w:szCs w:val="20"/>
        </w:rPr>
        <w:t xml:space="preserve"> An expanded structural model for STEM identity research</w:t>
      </w:r>
      <w:r>
        <w:rPr>
          <w:rFonts w:ascii="Arial" w:hAnsi="Arial" w:cs="Arial"/>
          <w:color w:val="000000"/>
          <w:sz w:val="20"/>
          <w:szCs w:val="20"/>
        </w:rPr>
        <w:t xml:space="preserve">. </w:t>
      </w:r>
      <w:r>
        <w:rPr>
          <w:rFonts w:ascii="Arial" w:hAnsi="Arial" w:cs="Arial"/>
          <w:i/>
          <w:iCs/>
          <w:color w:val="000000"/>
          <w:sz w:val="20"/>
          <w:szCs w:val="20"/>
        </w:rPr>
        <w:t>May 2020</w:t>
      </w:r>
      <w:r>
        <w:rPr>
          <w:rFonts w:ascii="Arial" w:hAnsi="Arial" w:cs="Arial"/>
          <w:color w:val="000000"/>
          <w:sz w:val="20"/>
          <w:szCs w:val="20"/>
        </w:rPr>
        <w:t xml:space="preserve">. </w:t>
      </w:r>
      <w:hyperlink r:id="rId6" w:history="1">
        <w:r>
          <w:rPr>
            <w:rStyle w:val="Hyperlink"/>
            <w:rFonts w:ascii="Arial" w:hAnsi="Arial" w:cs="Arial"/>
            <w:color w:val="1155CC"/>
            <w:sz w:val="20"/>
            <w:szCs w:val="20"/>
          </w:rPr>
          <w:t>https://doi.org/10.1002/tea.21734</w:t>
        </w:r>
      </w:hyperlink>
      <w:r w:rsidR="0029446B">
        <w:br/>
      </w:r>
    </w:p>
    <w:p w14:paraId="3E8CC29A" w14:textId="77777777" w:rsidR="0029446B" w:rsidRDefault="0029446B" w:rsidP="00F95F74">
      <w:r>
        <w:t xml:space="preserve">Dewsbury, B., &amp; </w:t>
      </w:r>
      <w:proofErr w:type="spellStart"/>
      <w:r>
        <w:t>Brame</w:t>
      </w:r>
      <w:proofErr w:type="spellEnd"/>
      <w:r>
        <w:t xml:space="preserve">, C. J. (2019). </w:t>
      </w:r>
      <w:r>
        <w:rPr>
          <w:i/>
        </w:rPr>
        <w:t>Inclusive teaching.</w:t>
      </w:r>
      <w:r>
        <w:t xml:space="preserve"> CBE—Life Sciences Education, 18(2), </w:t>
      </w:r>
      <w:hyperlink r:id="rId7">
        <w:r>
          <w:rPr>
            <w:color w:val="1155CC"/>
            <w:u w:val="single"/>
          </w:rPr>
          <w:t>https://doi.org/10.1187/cbe.19-01-0021</w:t>
        </w:r>
      </w:hyperlink>
      <w:r>
        <w:t xml:space="preserve"> </w:t>
      </w:r>
    </w:p>
    <w:p w14:paraId="3912768C" w14:textId="77777777" w:rsidR="0029446B" w:rsidRDefault="0029446B" w:rsidP="0029446B">
      <w:r>
        <w:t>This paper describes the online, evidence-based teaching guide (</w:t>
      </w:r>
      <w:hyperlink r:id="rId8" w:tgtFrame="_blank" w:history="1">
        <w:r>
          <w:rPr>
            <w:rStyle w:val="Hyperlink"/>
          </w:rPr>
          <w:t>https://lse.ascb.org/evidence-based-teaching-guides/inclusive-teaching</w:t>
        </w:r>
      </w:hyperlink>
      <w:r>
        <w:t xml:space="preserve">) . It features suggestions on reflection on practice and </w:t>
      </w:r>
      <w:r>
        <w:lastRenderedPageBreak/>
        <w:t>developing awareness and empathy.  It also includes a tool for evaluating and thinking about these concepts.  The tool is available as a pdf.</w:t>
      </w:r>
    </w:p>
    <w:p w14:paraId="5E5B4BF7" w14:textId="77777777" w:rsidR="0029446B" w:rsidRDefault="0029446B" w:rsidP="0029446B">
      <w:pPr>
        <w:ind w:left="1440" w:hanging="720"/>
      </w:pPr>
    </w:p>
    <w:p w14:paraId="6F7E2D5A" w14:textId="77777777" w:rsidR="0029446B" w:rsidRDefault="0029446B" w:rsidP="0029446B">
      <w:pPr>
        <w:ind w:left="1440" w:hanging="720"/>
      </w:pPr>
    </w:p>
    <w:p w14:paraId="53306E2E" w14:textId="77777777" w:rsidR="00004222" w:rsidRDefault="00004222" w:rsidP="00004222">
      <w:pPr>
        <w:ind w:left="720"/>
        <w:rPr>
          <w:rFonts w:ascii="Arial" w:hAnsi="Arial" w:cs="Arial"/>
          <w:color w:val="000000"/>
          <w:sz w:val="22"/>
          <w:szCs w:val="22"/>
        </w:rPr>
      </w:pPr>
      <w:proofErr w:type="spellStart"/>
      <w:r w:rsidRPr="00004222">
        <w:rPr>
          <w:rFonts w:ascii="Arial" w:hAnsi="Arial" w:cs="Arial"/>
          <w:color w:val="000000"/>
          <w:sz w:val="22"/>
          <w:szCs w:val="22"/>
        </w:rPr>
        <w:t>Fritzgerald</w:t>
      </w:r>
      <w:proofErr w:type="spellEnd"/>
      <w:r w:rsidRPr="00004222">
        <w:rPr>
          <w:rFonts w:ascii="Arial" w:hAnsi="Arial" w:cs="Arial"/>
          <w:color w:val="000000"/>
          <w:sz w:val="22"/>
          <w:szCs w:val="22"/>
        </w:rPr>
        <w:t xml:space="preserve">, A. (2020). </w:t>
      </w:r>
      <w:r w:rsidRPr="00004222">
        <w:rPr>
          <w:rFonts w:ascii="Arial" w:hAnsi="Arial" w:cs="Arial"/>
          <w:i/>
          <w:iCs/>
          <w:color w:val="000000"/>
          <w:sz w:val="22"/>
          <w:szCs w:val="22"/>
        </w:rPr>
        <w:t>Anti-racism and universal design for learning: Building expressways to success</w:t>
      </w:r>
      <w:r w:rsidRPr="00004222">
        <w:rPr>
          <w:rFonts w:ascii="Arial" w:hAnsi="Arial" w:cs="Arial"/>
          <w:color w:val="000000"/>
          <w:sz w:val="22"/>
          <w:szCs w:val="22"/>
        </w:rPr>
        <w:t>. CAST, Inc.</w:t>
      </w:r>
      <w:r>
        <w:rPr>
          <w:rFonts w:ascii="Arial" w:hAnsi="Arial" w:cs="Arial"/>
          <w:color w:val="000000"/>
          <w:sz w:val="22"/>
          <w:szCs w:val="22"/>
        </w:rPr>
        <w:t xml:space="preserve"> </w:t>
      </w:r>
    </w:p>
    <w:p w14:paraId="039618B6" w14:textId="77777777" w:rsidR="00004222" w:rsidRDefault="00004222" w:rsidP="00004222">
      <w:pPr>
        <w:ind w:left="720"/>
        <w:rPr>
          <w:rFonts w:ascii="Arial" w:hAnsi="Arial" w:cs="Arial"/>
          <w:color w:val="000000"/>
          <w:sz w:val="22"/>
          <w:szCs w:val="22"/>
        </w:rPr>
      </w:pPr>
    </w:p>
    <w:p w14:paraId="3297E067" w14:textId="03FFB381" w:rsidR="00004222" w:rsidRPr="00004222" w:rsidRDefault="00004222" w:rsidP="00004222">
      <w:pPr>
        <w:ind w:left="720"/>
      </w:pPr>
      <w:bookmarkStart w:id="0" w:name="_GoBack"/>
      <w:bookmarkEnd w:id="0"/>
      <w:r>
        <w:rPr>
          <w:rFonts w:ascii="Arial" w:hAnsi="Arial" w:cs="Arial"/>
          <w:color w:val="000000"/>
          <w:sz w:val="22"/>
          <w:szCs w:val="22"/>
        </w:rPr>
        <w:t xml:space="preserve">Another book designed for K12 educators, but teaches many lessons that college faculty can </w:t>
      </w:r>
      <w:proofErr w:type="spellStart"/>
      <w:r>
        <w:rPr>
          <w:rFonts w:ascii="Arial" w:hAnsi="Arial" w:cs="Arial"/>
          <w:color w:val="000000"/>
          <w:sz w:val="22"/>
          <w:szCs w:val="22"/>
        </w:rPr>
        <w:t>benfit</w:t>
      </w:r>
      <w:proofErr w:type="spellEnd"/>
      <w:r>
        <w:rPr>
          <w:rFonts w:ascii="Arial" w:hAnsi="Arial" w:cs="Arial"/>
          <w:color w:val="000000"/>
          <w:sz w:val="22"/>
          <w:szCs w:val="22"/>
        </w:rPr>
        <w:t xml:space="preserve"> from.</w:t>
      </w:r>
    </w:p>
    <w:p w14:paraId="1D6B21D6" w14:textId="77777777" w:rsidR="00004222" w:rsidRDefault="00004222" w:rsidP="0029446B">
      <w:pPr>
        <w:ind w:left="1440" w:hanging="720"/>
      </w:pPr>
    </w:p>
    <w:p w14:paraId="569EC1BE" w14:textId="0788928F" w:rsidR="0029446B" w:rsidRDefault="0029446B" w:rsidP="0029446B">
      <w:pPr>
        <w:ind w:left="1440" w:hanging="720"/>
      </w:pPr>
      <w:r>
        <w:t xml:space="preserve">Kumar, K. L., &amp; Wideman, M. (2014). </w:t>
      </w:r>
      <w:r>
        <w:rPr>
          <w:i/>
        </w:rPr>
        <w:t xml:space="preserve">Accessible by design: Applying UDL principles in a </w:t>
      </w:r>
      <w:proofErr w:type="gramStart"/>
      <w:r>
        <w:rPr>
          <w:i/>
        </w:rPr>
        <w:t>first year</w:t>
      </w:r>
      <w:proofErr w:type="gramEnd"/>
      <w:r>
        <w:rPr>
          <w:i/>
        </w:rPr>
        <w:t xml:space="preserve"> undergraduate course.</w:t>
      </w:r>
      <w:r>
        <w:t xml:space="preserve"> Canadian Journal of Higher Education, 44(1), 125-147. </w:t>
      </w:r>
      <w:hyperlink r:id="rId9">
        <w:r>
          <w:rPr>
            <w:color w:val="1155CC"/>
            <w:u w:val="single"/>
          </w:rPr>
          <w:t>https://doi.org/10.47678/cjhe.</w:t>
        </w:r>
      </w:hyperlink>
      <w:hyperlink r:id="rId10">
        <w:r>
          <w:rPr>
            <w:color w:val="1155CC"/>
            <w:u w:val="single"/>
          </w:rPr>
          <w:t>v44i1.183704</w:t>
        </w:r>
      </w:hyperlink>
      <w:r>
        <w:t xml:space="preserve"> </w:t>
      </w:r>
    </w:p>
    <w:p w14:paraId="237B6D2B" w14:textId="77777777" w:rsidR="0029446B" w:rsidRDefault="0029446B" w:rsidP="0029446B">
      <w:pPr>
        <w:ind w:left="1440" w:hanging="720"/>
      </w:pPr>
    </w:p>
    <w:p w14:paraId="5117C79D" w14:textId="77777777" w:rsidR="0029446B" w:rsidRDefault="0029446B" w:rsidP="0029446B"/>
    <w:p w14:paraId="1851A655" w14:textId="77777777" w:rsidR="0029446B" w:rsidRDefault="0029446B" w:rsidP="0029446B">
      <w:pPr>
        <w:ind w:left="1440" w:hanging="720"/>
      </w:pPr>
      <w:r>
        <w:t xml:space="preserve">McKeown, C., &amp; McKeown, J. (2019). </w:t>
      </w:r>
      <w:r>
        <w:rPr>
          <w:i/>
        </w:rPr>
        <w:t xml:space="preserve">Accessibility in online courses: understanding the deaf learner. </w:t>
      </w:r>
      <w:proofErr w:type="spellStart"/>
      <w:r>
        <w:t>TechTrends</w:t>
      </w:r>
      <w:proofErr w:type="spellEnd"/>
      <w:r>
        <w:t xml:space="preserve">, 63(5), 506-513. </w:t>
      </w:r>
      <w:hyperlink r:id="rId11">
        <w:r>
          <w:rPr>
            <w:color w:val="1155CC"/>
            <w:u w:val="single"/>
          </w:rPr>
          <w:t>https://doi.org/10.1007/s11528-019-00385-3</w:t>
        </w:r>
      </w:hyperlink>
      <w:r>
        <w:t xml:space="preserve"> </w:t>
      </w:r>
    </w:p>
    <w:p w14:paraId="0F66CB9F" w14:textId="77777777" w:rsidR="0029446B" w:rsidRDefault="0029446B" w:rsidP="0029446B">
      <w:pPr>
        <w:ind w:left="1440" w:hanging="720"/>
      </w:pPr>
    </w:p>
    <w:p w14:paraId="759E43D6" w14:textId="77777777" w:rsidR="0029446B" w:rsidRDefault="0029446B" w:rsidP="0029446B">
      <w:pPr>
        <w:ind w:left="1440" w:hanging="720"/>
      </w:pPr>
    </w:p>
    <w:p w14:paraId="539D67F8" w14:textId="77777777" w:rsidR="0029446B" w:rsidRDefault="0029446B" w:rsidP="0029446B">
      <w:pPr>
        <w:ind w:left="1440" w:hanging="720"/>
      </w:pPr>
      <w:r>
        <w:t xml:space="preserve">Meyer, A., Rose, D.H., &amp; Gordon, D. (2014). </w:t>
      </w:r>
      <w:r>
        <w:rPr>
          <w:i/>
        </w:rPr>
        <w:t>Universal design for learning: Theory and Practice.</w:t>
      </w:r>
      <w:r>
        <w:t xml:space="preserve"> Wakefield, MA: CAST Professional Publishing.</w:t>
      </w:r>
    </w:p>
    <w:p w14:paraId="58AA7F6A" w14:textId="77777777" w:rsidR="0029446B" w:rsidRDefault="0029446B" w:rsidP="0029446B">
      <w:pPr>
        <w:ind w:left="1440" w:hanging="720"/>
      </w:pPr>
    </w:p>
    <w:p w14:paraId="1FE6FC0C" w14:textId="77777777" w:rsidR="0029446B" w:rsidRDefault="0029446B" w:rsidP="0029446B">
      <w:pPr>
        <w:ind w:left="1440" w:hanging="720"/>
      </w:pPr>
    </w:p>
    <w:p w14:paraId="7B601978" w14:textId="77777777" w:rsidR="0029446B" w:rsidRDefault="0029446B" w:rsidP="0029446B">
      <w:pPr>
        <w:ind w:left="1440" w:hanging="720"/>
      </w:pPr>
      <w:r>
        <w:t xml:space="preserve">National Center for Science and Engineering Statistics (NCSES). (2019). </w:t>
      </w:r>
      <w:r>
        <w:rPr>
          <w:i/>
        </w:rPr>
        <w:t xml:space="preserve">Women, Minorities, and Persons with Disabilities in Science and </w:t>
      </w:r>
      <w:proofErr w:type="spellStart"/>
      <w:r>
        <w:rPr>
          <w:i/>
        </w:rPr>
        <w:t>Engineering.</w:t>
      </w:r>
      <w:hyperlink r:id="rId12">
        <w:r>
          <w:rPr>
            <w:color w:val="1155CC"/>
            <w:u w:val="single"/>
          </w:rPr>
          <w:t>https</w:t>
        </w:r>
        <w:proofErr w:type="spellEnd"/>
        <w:r>
          <w:rPr>
            <w:color w:val="1155CC"/>
            <w:u w:val="single"/>
          </w:rPr>
          <w:t>://ncses.nsf.gov/pubs/nsf19304</w:t>
        </w:r>
      </w:hyperlink>
    </w:p>
    <w:p w14:paraId="30BE0AE1" w14:textId="77777777" w:rsidR="0029446B" w:rsidRDefault="0029446B" w:rsidP="0029446B">
      <w:pPr>
        <w:ind w:left="1440" w:hanging="720"/>
      </w:pPr>
    </w:p>
    <w:p w14:paraId="05B41E00" w14:textId="77777777" w:rsidR="0029446B" w:rsidRDefault="0029446B" w:rsidP="0029446B">
      <w:pPr>
        <w:ind w:left="1440" w:hanging="720"/>
      </w:pPr>
    </w:p>
    <w:p w14:paraId="69EFABAE" w14:textId="77777777" w:rsidR="0029446B" w:rsidRDefault="0029446B" w:rsidP="0029446B">
      <w:pPr>
        <w:ind w:left="1440" w:hanging="720"/>
      </w:pPr>
      <w:r>
        <w:t xml:space="preserve">National Research Council. (2015). </w:t>
      </w:r>
      <w:r>
        <w:rPr>
          <w:i/>
        </w:rPr>
        <w:t>Reaching Students: What Research Says About Effective Instruction in Undergraduate Science and Engineering</w:t>
      </w:r>
      <w:r>
        <w:t xml:space="preserve">. Washington, DC: The National Academies Press. </w:t>
      </w:r>
      <w:hyperlink r:id="rId13">
        <w:r>
          <w:rPr>
            <w:color w:val="1A73E8"/>
            <w:u w:val="single"/>
          </w:rPr>
          <w:t>https://doi.org/10.17226/18687</w:t>
        </w:r>
      </w:hyperlink>
    </w:p>
    <w:p w14:paraId="2A9A2F91" w14:textId="77777777" w:rsidR="0029446B" w:rsidRDefault="0029446B" w:rsidP="0029446B">
      <w:pPr>
        <w:ind w:left="1440" w:hanging="720"/>
      </w:pPr>
    </w:p>
    <w:p w14:paraId="781FA317" w14:textId="77777777" w:rsidR="0029446B" w:rsidRDefault="0029446B" w:rsidP="0029446B">
      <w:pPr>
        <w:ind w:left="1440" w:hanging="720"/>
        <w:rPr>
          <w:color w:val="1A73E8"/>
        </w:rPr>
      </w:pPr>
    </w:p>
    <w:p w14:paraId="70C0AC41" w14:textId="77777777" w:rsidR="0029446B" w:rsidRDefault="0029446B" w:rsidP="0029446B">
      <w:pPr>
        <w:ind w:left="1440" w:hanging="720"/>
        <w:rPr>
          <w:i/>
        </w:rPr>
      </w:pPr>
      <w:r>
        <w:t xml:space="preserve">Novak, K., &amp; Rodriguez, K. (2018). </w:t>
      </w:r>
      <w:r>
        <w:rPr>
          <w:i/>
        </w:rPr>
        <w:t>UDL progression rubric.</w:t>
      </w:r>
    </w:p>
    <w:p w14:paraId="2A9D200B" w14:textId="77777777" w:rsidR="0029446B" w:rsidRDefault="0029446B" w:rsidP="0029446B">
      <w:pPr>
        <w:ind w:left="1440" w:hanging="720"/>
      </w:pPr>
    </w:p>
    <w:p w14:paraId="68E30529" w14:textId="77777777" w:rsidR="0029446B" w:rsidRDefault="0029446B" w:rsidP="0029446B"/>
    <w:p w14:paraId="6849D474" w14:textId="77777777" w:rsidR="0029446B" w:rsidRDefault="0029446B" w:rsidP="0029446B">
      <w:pPr>
        <w:ind w:left="1440" w:hanging="720"/>
        <w:rPr>
          <w:color w:val="1155CC"/>
          <w:u w:val="single"/>
        </w:rPr>
      </w:pPr>
      <w:proofErr w:type="spellStart"/>
      <w:r>
        <w:t>Orndorf</w:t>
      </w:r>
      <w:proofErr w:type="spellEnd"/>
      <w:r>
        <w:t xml:space="preserve">, H. C., Waterman, M., Lange, D., </w:t>
      </w:r>
      <w:proofErr w:type="spellStart"/>
      <w:r>
        <w:t>Kavin</w:t>
      </w:r>
      <w:proofErr w:type="spellEnd"/>
      <w:r>
        <w:t xml:space="preserve">, D., Johnston, S. C., &amp; Jenkins, K. P. (2022). </w:t>
      </w:r>
      <w:r>
        <w:rPr>
          <w:i/>
        </w:rPr>
        <w:t>Opening the Pathway: An Example of Universal Design for Learning as a Guide to Inclusive Teaching Practices.</w:t>
      </w:r>
      <w:r>
        <w:t xml:space="preserve"> CBE-Life Science Education Vol 21, No 2</w:t>
      </w:r>
      <w:hyperlink r:id="rId14">
        <w:r>
          <w:t xml:space="preserve"> </w:t>
        </w:r>
      </w:hyperlink>
      <w:hyperlink r:id="rId15">
        <w:r>
          <w:rPr>
            <w:color w:val="1155CC"/>
            <w:u w:val="single"/>
          </w:rPr>
          <w:t>https://doi.org/10.1187/cbe.21-09-0239</w:t>
        </w:r>
      </w:hyperlink>
    </w:p>
    <w:p w14:paraId="736848D2" w14:textId="77777777" w:rsidR="0029446B" w:rsidRDefault="0029446B" w:rsidP="0029446B">
      <w:pPr>
        <w:ind w:left="1440" w:hanging="720"/>
        <w:rPr>
          <w:color w:val="1155CC"/>
          <w:u w:val="single"/>
        </w:rPr>
      </w:pPr>
    </w:p>
    <w:p w14:paraId="02BE8299" w14:textId="77777777" w:rsidR="0029446B" w:rsidRDefault="0029446B" w:rsidP="0029446B">
      <w:pPr>
        <w:ind w:left="1440" w:hanging="720"/>
        <w:rPr>
          <w:color w:val="1155CC"/>
          <w:u w:val="single"/>
        </w:rPr>
      </w:pPr>
      <w:proofErr w:type="spellStart"/>
      <w:r>
        <w:rPr>
          <w:color w:val="0E101A"/>
        </w:rPr>
        <w:t>Orndorf</w:t>
      </w:r>
      <w:proofErr w:type="spellEnd"/>
      <w:r>
        <w:rPr>
          <w:color w:val="0E101A"/>
        </w:rPr>
        <w:t>, H. (2022).</w:t>
      </w:r>
      <w:hyperlink r:id="rId16">
        <w:r>
          <w:rPr>
            <w:color w:val="0E101A"/>
          </w:rPr>
          <w:t xml:space="preserve"> </w:t>
        </w:r>
      </w:hyperlink>
      <w:hyperlink r:id="rId17">
        <w:r>
          <w:rPr>
            <w:i/>
            <w:color w:val="1155CC"/>
            <w:u w:val="single"/>
          </w:rPr>
          <w:t>Beyond Average: Designing for Variability with Universal Design for Learning</w:t>
        </w:r>
      </w:hyperlink>
      <w:r>
        <w:rPr>
          <w:i/>
          <w:color w:val="1155CC"/>
          <w:u w:val="single"/>
        </w:rPr>
        <w:t>.</w:t>
      </w:r>
      <w:hyperlink r:id="rId18">
        <w:r>
          <w:rPr>
            <w:i/>
            <w:color w:val="1155CC"/>
            <w:u w:val="single"/>
          </w:rPr>
          <w:t xml:space="preserve"> Universal Design for Learning</w:t>
        </w:r>
      </w:hyperlink>
      <w:r>
        <w:rPr>
          <w:i/>
          <w:color w:val="0E101A"/>
        </w:rPr>
        <w:t>,</w:t>
      </w:r>
      <w:r>
        <w:rPr>
          <w:color w:val="0E101A"/>
        </w:rPr>
        <w:t xml:space="preserve"> QUBES Educational Resources.</w:t>
      </w:r>
      <w:hyperlink r:id="rId19">
        <w:r>
          <w:rPr>
            <w:color w:val="0E101A"/>
          </w:rPr>
          <w:t xml:space="preserve"> </w:t>
        </w:r>
      </w:hyperlink>
      <w:hyperlink r:id="rId20">
        <w:r>
          <w:rPr>
            <w:color w:val="1155CC"/>
            <w:u w:val="single"/>
          </w:rPr>
          <w:t>doi:10.25334/QRRW-N659</w:t>
        </w:r>
      </w:hyperlink>
    </w:p>
    <w:p w14:paraId="61A4E70B" w14:textId="77777777" w:rsidR="0029446B" w:rsidRDefault="0029446B" w:rsidP="0029446B"/>
    <w:p w14:paraId="0E408B6F" w14:textId="77777777" w:rsidR="0029446B" w:rsidRDefault="0029446B" w:rsidP="0029446B">
      <w:pPr>
        <w:ind w:left="1440" w:hanging="720"/>
      </w:pPr>
    </w:p>
    <w:p w14:paraId="5D31E429" w14:textId="77777777" w:rsidR="0029446B" w:rsidRDefault="0029446B" w:rsidP="0029446B"/>
    <w:p w14:paraId="5E0AD3A2" w14:textId="77777777" w:rsidR="0029446B" w:rsidRDefault="0029446B" w:rsidP="0029446B">
      <w:pPr>
        <w:ind w:left="1440" w:hanging="720"/>
      </w:pPr>
    </w:p>
    <w:p w14:paraId="6065C66A" w14:textId="77777777" w:rsidR="0029446B" w:rsidRDefault="0029446B" w:rsidP="0029446B">
      <w:pPr>
        <w:ind w:left="1440" w:hanging="720"/>
      </w:pPr>
    </w:p>
    <w:p w14:paraId="3B79C52C" w14:textId="77777777" w:rsidR="0029446B" w:rsidRDefault="0029446B" w:rsidP="0029446B">
      <w:pPr>
        <w:ind w:left="1440" w:hanging="720"/>
      </w:pPr>
      <w:r>
        <w:t xml:space="preserve">Rao, K., Ok, M. W., &amp; Bryant, B. R. (2014). A review of research on universal design educational models. </w:t>
      </w:r>
      <w:r>
        <w:rPr>
          <w:i/>
        </w:rPr>
        <w:t>Remedial and special education</w:t>
      </w:r>
      <w:r>
        <w:t xml:space="preserve">, </w:t>
      </w:r>
      <w:r>
        <w:rPr>
          <w:i/>
        </w:rPr>
        <w:t>35</w:t>
      </w:r>
      <w:r>
        <w:t xml:space="preserve">(3), 153-166. </w:t>
      </w:r>
      <w:hyperlink r:id="rId21">
        <w:r>
          <w:rPr>
            <w:color w:val="1155CC"/>
            <w:u w:val="single"/>
          </w:rPr>
          <w:t>https://doi.org/10.1177%2F0741932513518980</w:t>
        </w:r>
      </w:hyperlink>
      <w:r>
        <w:t xml:space="preserve"> </w:t>
      </w:r>
    </w:p>
    <w:p w14:paraId="498DFBB4" w14:textId="77777777" w:rsidR="0029446B" w:rsidRDefault="0029446B" w:rsidP="0029446B">
      <w:pPr>
        <w:ind w:left="1440" w:hanging="720"/>
      </w:pPr>
    </w:p>
    <w:p w14:paraId="7FD3C21E" w14:textId="77777777" w:rsidR="00004222" w:rsidRPr="00004222" w:rsidRDefault="00004222" w:rsidP="00004222">
      <w:proofErr w:type="spellStart"/>
      <w:r w:rsidRPr="00004222">
        <w:rPr>
          <w:rFonts w:ascii="Arial" w:hAnsi="Arial" w:cs="Arial"/>
          <w:color w:val="000000"/>
          <w:sz w:val="22"/>
          <w:szCs w:val="22"/>
        </w:rPr>
        <w:t>Reinholz</w:t>
      </w:r>
      <w:proofErr w:type="spellEnd"/>
      <w:r w:rsidRPr="00004222">
        <w:rPr>
          <w:rFonts w:ascii="Arial" w:hAnsi="Arial" w:cs="Arial"/>
          <w:color w:val="000000"/>
          <w:sz w:val="22"/>
          <w:szCs w:val="22"/>
        </w:rPr>
        <w:t>, D. L., &amp; Ridgway, S. W. (2021). Access needs: Centering students and disrupting ableist norms in STEM. CBE Life Sciences Education, 20(3), es8-es8. https://doi.org/10.1187/cbe.21-01-0017</w:t>
      </w:r>
    </w:p>
    <w:p w14:paraId="788725DA" w14:textId="77777777" w:rsidR="00004222" w:rsidRDefault="00004222" w:rsidP="0029446B">
      <w:pPr>
        <w:ind w:left="1440" w:hanging="720"/>
      </w:pPr>
    </w:p>
    <w:p w14:paraId="66FE169C" w14:textId="79CAEA30" w:rsidR="0029446B" w:rsidRDefault="0029446B" w:rsidP="0029446B">
      <w:pPr>
        <w:ind w:left="1440" w:hanging="720"/>
      </w:pPr>
      <w:r>
        <w:t xml:space="preserve">Rose, D.H. &amp; Gravel, J.W. (2010). </w:t>
      </w:r>
      <w:r>
        <w:rPr>
          <w:i/>
        </w:rPr>
        <w:t>Universal design for learning.</w:t>
      </w:r>
      <w:r>
        <w:t xml:space="preserve"> In E. Baker, P. Peterson, &amp; B. McGaw (Eds.). International Encyclopedia of Education, 3rd Ed. Oxford: Elsevier.</w:t>
      </w:r>
    </w:p>
    <w:p w14:paraId="3CB63FEE" w14:textId="77777777" w:rsidR="0029446B" w:rsidRDefault="0029446B" w:rsidP="0029446B">
      <w:pPr>
        <w:ind w:left="1440" w:hanging="720"/>
      </w:pPr>
    </w:p>
    <w:p w14:paraId="36BF5E76" w14:textId="77777777" w:rsidR="0029446B" w:rsidRDefault="0029446B" w:rsidP="0029446B">
      <w:pPr>
        <w:ind w:left="1440" w:hanging="720"/>
      </w:pPr>
      <w:r>
        <w:t xml:space="preserve">Rose, D. H., </w:t>
      </w:r>
      <w:proofErr w:type="spellStart"/>
      <w:r>
        <w:t>Harbour</w:t>
      </w:r>
      <w:proofErr w:type="spellEnd"/>
      <w:r>
        <w:t xml:space="preserve">, W. S., Johnston, C. S., Daley, S. G., &amp; </w:t>
      </w:r>
      <w:proofErr w:type="spellStart"/>
      <w:r>
        <w:t>Abarbanell</w:t>
      </w:r>
      <w:proofErr w:type="spellEnd"/>
      <w:r>
        <w:t xml:space="preserve">, L. (2006). </w:t>
      </w:r>
      <w:r>
        <w:rPr>
          <w:i/>
        </w:rPr>
        <w:t xml:space="preserve">Universal design for learning in postsecondary education: Reflections on principles and their application. </w:t>
      </w:r>
      <w:r>
        <w:t>Journal of postsecondary education and disability, 19(2), 135-151.</w:t>
      </w:r>
    </w:p>
    <w:p w14:paraId="669795E7" w14:textId="77777777" w:rsidR="0029446B" w:rsidRDefault="0029446B" w:rsidP="0029446B">
      <w:pPr>
        <w:ind w:left="1440" w:hanging="720"/>
      </w:pPr>
    </w:p>
    <w:p w14:paraId="605EB23B" w14:textId="77777777" w:rsidR="0029446B" w:rsidRDefault="0029446B" w:rsidP="0029446B">
      <w:pPr>
        <w:ind w:left="1440" w:hanging="720"/>
      </w:pPr>
    </w:p>
    <w:p w14:paraId="2BE8702E" w14:textId="77777777" w:rsidR="0029446B" w:rsidRDefault="0029446B" w:rsidP="0029446B">
      <w:pPr>
        <w:ind w:left="1440" w:hanging="720"/>
      </w:pPr>
      <w:proofErr w:type="spellStart"/>
      <w:r>
        <w:t>Schreffler</w:t>
      </w:r>
      <w:proofErr w:type="spellEnd"/>
      <w:r>
        <w:t xml:space="preserve">, J., Vasquez III, E., </w:t>
      </w:r>
      <w:proofErr w:type="spellStart"/>
      <w:r>
        <w:t>Chini</w:t>
      </w:r>
      <w:proofErr w:type="spellEnd"/>
      <w:r>
        <w:t xml:space="preserve">, J., &amp; James, W. (2019). </w:t>
      </w:r>
      <w:r>
        <w:rPr>
          <w:i/>
        </w:rPr>
        <w:t>Universal design for learning in postsecondary STEM education for students with disabilities: A systematic literature review.</w:t>
      </w:r>
      <w:r>
        <w:t xml:space="preserve"> International Journal of STEM Education, 6(1), 1-10. </w:t>
      </w:r>
      <w:hyperlink r:id="rId22">
        <w:r>
          <w:rPr>
            <w:color w:val="1155CC"/>
            <w:u w:val="single"/>
            <w:shd w:val="clear" w:color="auto" w:fill="FCFCFC"/>
          </w:rPr>
          <w:t>https://doi.org/10.1186/s40594-019-0161-8</w:t>
        </w:r>
      </w:hyperlink>
      <w:r>
        <w:rPr>
          <w:color w:val="3A3A3A"/>
          <w:shd w:val="clear" w:color="auto" w:fill="F3F3F3"/>
        </w:rPr>
        <w:t xml:space="preserve"> </w:t>
      </w:r>
    </w:p>
    <w:p w14:paraId="0F245A06" w14:textId="77777777" w:rsidR="0029446B" w:rsidRDefault="0029446B" w:rsidP="0029446B">
      <w:pPr>
        <w:ind w:left="1440" w:hanging="720"/>
      </w:pPr>
    </w:p>
    <w:p w14:paraId="009E4C55" w14:textId="77777777" w:rsidR="0029446B" w:rsidRDefault="0029446B" w:rsidP="0029446B"/>
    <w:p w14:paraId="53E31C8A" w14:textId="77777777" w:rsidR="0029446B" w:rsidRDefault="0029446B" w:rsidP="0029446B"/>
    <w:p w14:paraId="4ACAB4CC" w14:textId="77777777" w:rsidR="0029446B" w:rsidRDefault="0029446B" w:rsidP="0029446B">
      <w:pPr>
        <w:ind w:left="1440" w:hanging="720"/>
      </w:pPr>
    </w:p>
    <w:p w14:paraId="5D86D32B" w14:textId="77777777" w:rsidR="0029446B" w:rsidRDefault="0029446B" w:rsidP="0029446B">
      <w:pPr>
        <w:ind w:left="1440" w:hanging="720"/>
      </w:pPr>
    </w:p>
    <w:p w14:paraId="18600964" w14:textId="77777777" w:rsidR="0029446B" w:rsidRDefault="0029446B" w:rsidP="0029446B">
      <w:pPr>
        <w:ind w:left="1440" w:hanging="720"/>
      </w:pPr>
      <w:r>
        <w:t xml:space="preserve">Tobin, T. J., &amp; Behling, K. T. (2018). </w:t>
      </w:r>
      <w:r>
        <w:rPr>
          <w:i/>
        </w:rPr>
        <w:t xml:space="preserve">Reach everyone, teach everyone: Universal design for learning in higher education. </w:t>
      </w:r>
      <w:r>
        <w:t>West Virginia University Press.</w:t>
      </w:r>
    </w:p>
    <w:p w14:paraId="375502F7" w14:textId="77777777" w:rsidR="0029446B" w:rsidRDefault="0029446B" w:rsidP="0029446B">
      <w:pPr>
        <w:ind w:left="1440" w:hanging="720"/>
      </w:pPr>
    </w:p>
    <w:p w14:paraId="535F9C10" w14:textId="77777777" w:rsidR="0029446B" w:rsidRDefault="0029446B" w:rsidP="0029446B">
      <w:pPr>
        <w:ind w:left="1440" w:hanging="720"/>
        <w:rPr>
          <w:i/>
        </w:rPr>
      </w:pPr>
      <w:r>
        <w:t>University of Michigan Center for Research on Learning &amp; Teaching. (2021).</w:t>
      </w:r>
      <w:r>
        <w:rPr>
          <w:i/>
        </w:rPr>
        <w:t xml:space="preserve"> </w:t>
      </w:r>
      <w:hyperlink r:id="rId23" w:anchor="heading=h.rgsvonbh9hpa">
        <w:r>
          <w:rPr>
            <w:i/>
            <w:color w:val="1155CC"/>
            <w:u w:val="single"/>
          </w:rPr>
          <w:t>Reflecting on Your Practice: Applying Equity-Focused Teaching Principles</w:t>
        </w:r>
      </w:hyperlink>
      <w:r>
        <w:rPr>
          <w:i/>
        </w:rPr>
        <w:t xml:space="preserve">. </w:t>
      </w:r>
    </w:p>
    <w:p w14:paraId="15F305F4" w14:textId="77777777" w:rsidR="0029446B" w:rsidRDefault="0029446B" w:rsidP="0029446B">
      <w:pPr>
        <w:ind w:left="1440" w:hanging="720"/>
      </w:pPr>
    </w:p>
    <w:p w14:paraId="273829F3" w14:textId="77777777" w:rsidR="0029446B" w:rsidRDefault="0029446B" w:rsidP="0029446B">
      <w:pPr>
        <w:ind w:left="1440" w:hanging="720"/>
      </w:pPr>
    </w:p>
    <w:p w14:paraId="30AE0D9E" w14:textId="77777777" w:rsidR="0029446B" w:rsidRDefault="0029446B" w:rsidP="0029446B">
      <w:pPr>
        <w:ind w:left="1440" w:hanging="720"/>
        <w:rPr>
          <w:color w:val="1A73E8"/>
        </w:rPr>
      </w:pPr>
      <w:r>
        <w:t xml:space="preserve">van </w:t>
      </w:r>
      <w:proofErr w:type="spellStart"/>
      <w:r>
        <w:t>Rooij</w:t>
      </w:r>
      <w:proofErr w:type="spellEnd"/>
      <w:r>
        <w:t xml:space="preserve">, S. W., &amp; Zirkle, K. (2016). </w:t>
      </w:r>
      <w:r>
        <w:rPr>
          <w:i/>
        </w:rPr>
        <w:t>Balancing pedagogy, student readiness and accessibility: A case study in collaborative online course development. The Internet and Higher Education,</w:t>
      </w:r>
      <w:r>
        <w:t xml:space="preserve"> 28, 1-7. </w:t>
      </w:r>
      <w:hyperlink r:id="rId24">
        <w:r>
          <w:rPr>
            <w:color w:val="1A73E8"/>
            <w:u w:val="single"/>
          </w:rPr>
          <w:t>https://doi.org/10.1016/j.iheduc.2015.08.001</w:t>
        </w:r>
      </w:hyperlink>
    </w:p>
    <w:p w14:paraId="204D4509" w14:textId="77777777" w:rsidR="0029446B" w:rsidRDefault="0029446B" w:rsidP="0029446B">
      <w:pPr>
        <w:ind w:left="1440" w:hanging="720"/>
      </w:pPr>
    </w:p>
    <w:p w14:paraId="4F5E2D8E" w14:textId="77777777" w:rsidR="0029446B" w:rsidRDefault="0029446B" w:rsidP="0029446B">
      <w:pPr>
        <w:ind w:left="1440" w:hanging="720"/>
      </w:pPr>
    </w:p>
    <w:p w14:paraId="6B067EC5" w14:textId="77777777" w:rsidR="0029446B" w:rsidRDefault="0029446B" w:rsidP="0029446B"/>
    <w:p w14:paraId="733A31C4" w14:textId="77777777" w:rsidR="0029446B" w:rsidRDefault="0029446B" w:rsidP="0029446B">
      <w:pPr>
        <w:ind w:left="1440" w:hanging="720"/>
      </w:pPr>
    </w:p>
    <w:p w14:paraId="1A94231E" w14:textId="77777777" w:rsidR="0029446B" w:rsidRDefault="0029446B" w:rsidP="0029446B">
      <w:pPr>
        <w:ind w:left="1440" w:hanging="720"/>
      </w:pPr>
    </w:p>
    <w:p w14:paraId="4013F391" w14:textId="77777777" w:rsidR="0029446B" w:rsidRDefault="0029446B" w:rsidP="0029446B">
      <w:pPr>
        <w:ind w:left="1440" w:hanging="720"/>
      </w:pPr>
    </w:p>
    <w:p w14:paraId="5873C7F5" w14:textId="77777777" w:rsidR="0029446B" w:rsidRDefault="0029446B" w:rsidP="0029446B">
      <w:pPr>
        <w:ind w:left="1440" w:hanging="720"/>
      </w:pPr>
    </w:p>
    <w:p w14:paraId="6CCAEA60" w14:textId="77777777" w:rsidR="0029446B" w:rsidRDefault="0029446B" w:rsidP="0029446B">
      <w:pPr>
        <w:ind w:left="1440" w:hanging="720"/>
      </w:pPr>
    </w:p>
    <w:p w14:paraId="3F8E660D" w14:textId="77777777" w:rsidR="0029446B" w:rsidRDefault="0029446B" w:rsidP="0029446B">
      <w:pPr>
        <w:rPr>
          <w:rStyle w:val="Hyperlink"/>
        </w:rPr>
      </w:pPr>
    </w:p>
    <w:p w14:paraId="54EDE041" w14:textId="77777777" w:rsidR="0029446B" w:rsidRDefault="0029446B" w:rsidP="0029446B">
      <w:pPr>
        <w:rPr>
          <w:rStyle w:val="Hyperlink"/>
        </w:rPr>
      </w:pPr>
      <w:r w:rsidRPr="00DB5F25">
        <w:t xml:space="preserve">Novak, K., &amp; Rodriguez, K. (2018). </w:t>
      </w:r>
      <w:r w:rsidRPr="00DB5F25">
        <w:rPr>
          <w:b/>
          <w:bCs/>
        </w:rPr>
        <w:t>UDL progression rubric</w:t>
      </w:r>
      <w:r w:rsidRPr="00DB5F25">
        <w:t xml:space="preserve">. Retrieved June 2, 2021, from </w:t>
      </w:r>
      <w:hyperlink r:id="rId25" w:tgtFrame="_blank" w:history="1">
        <w:r w:rsidRPr="00DB5F25">
          <w:rPr>
            <w:rStyle w:val="Hyperlink"/>
          </w:rPr>
          <w:t>http://castpublishing.org/wp-content/uploads/2018/02/UDL</w:t>
        </w:r>
        <w:r w:rsidRPr="00DB5F25">
          <w:rPr>
            <w:rStyle w:val="Hyperlink"/>
            <w:rFonts w:ascii="MS Gothic" w:eastAsia="MS Gothic" w:hAnsi="MS Gothic" w:cs="MS Gothic" w:hint="eastAsia"/>
          </w:rPr>
          <w:t> </w:t>
        </w:r>
        <w:r w:rsidRPr="00DB5F25">
          <w:rPr>
            <w:rStyle w:val="Hyperlink"/>
          </w:rPr>
          <w:t>_Progression_Rubric_FINAL_Web_REV1.pdf</w:t>
        </w:r>
      </w:hyperlink>
      <w:r w:rsidRPr="00DB5F25">
        <w:t xml:space="preserve"> </w:t>
      </w:r>
      <w:hyperlink r:id="rId26" w:tgtFrame="_blank" w:history="1">
        <w:r w:rsidRPr="00DB5F25">
          <w:rPr>
            <w:rStyle w:val="Hyperlink"/>
          </w:rPr>
          <w:t>Google Scholar</w:t>
        </w:r>
      </w:hyperlink>
    </w:p>
    <w:p w14:paraId="44C10E28" w14:textId="77777777" w:rsidR="0029446B" w:rsidRPr="00DB5F25" w:rsidRDefault="0029446B" w:rsidP="0029446B"/>
    <w:p w14:paraId="3D48E7A1" w14:textId="77777777" w:rsidR="0029446B" w:rsidRDefault="0029446B" w:rsidP="0029446B">
      <w:pPr>
        <w:rPr>
          <w:rStyle w:val="Hyperlink"/>
        </w:rPr>
      </w:pPr>
      <w:r w:rsidRPr="00DB5F25">
        <w:t xml:space="preserve">Tobin, T. J., &amp; Behling, K. T. (2018). </w:t>
      </w:r>
      <w:r w:rsidRPr="00DB5F25">
        <w:rPr>
          <w:b/>
          <w:bCs/>
        </w:rPr>
        <w:t>Reach everyone, teach everyone: Universal Design for Learning in higher education</w:t>
      </w:r>
      <w:r w:rsidRPr="00DB5F25">
        <w:t xml:space="preserve">. Morgantown, WV: West Virginia University Press. </w:t>
      </w:r>
      <w:hyperlink r:id="rId27" w:tgtFrame="_blank" w:history="1">
        <w:r w:rsidRPr="00DB5F25">
          <w:rPr>
            <w:rStyle w:val="Hyperlink"/>
          </w:rPr>
          <w:t>Google Scholar</w:t>
        </w:r>
      </w:hyperlink>
    </w:p>
    <w:p w14:paraId="30EACFD3" w14:textId="77777777" w:rsidR="0029446B" w:rsidRPr="00DB5F25" w:rsidRDefault="0029446B" w:rsidP="0029446B"/>
    <w:p w14:paraId="3B339E4E" w14:textId="77777777" w:rsidR="0029446B" w:rsidRPr="00DB5F25" w:rsidRDefault="0029446B" w:rsidP="0029446B">
      <w:r w:rsidRPr="00DB5F25">
        <w:t xml:space="preserve">U.S. Bureau of Labor Statistics. (2021, September 8). </w:t>
      </w:r>
      <w:r w:rsidRPr="00DB5F25">
        <w:rPr>
          <w:b/>
          <w:bCs/>
        </w:rPr>
        <w:t>Occupational outlook handbook</w:t>
      </w:r>
      <w:r w:rsidRPr="00DB5F25">
        <w:rPr>
          <w:i/>
          <w:iCs/>
        </w:rPr>
        <w:t>.</w:t>
      </w:r>
      <w:r w:rsidRPr="00DB5F25">
        <w:t xml:space="preserve"> Retrieved November 10, 2021, from </w:t>
      </w:r>
      <w:hyperlink r:id="rId28" w:tgtFrame="_blank" w:history="1">
        <w:r w:rsidRPr="00DB5F25">
          <w:rPr>
            <w:rStyle w:val="Hyperlink"/>
          </w:rPr>
          <w:t>www.bls.gov/ooh/life</w:t>
        </w:r>
        <w:r w:rsidRPr="00DB5F25">
          <w:rPr>
            <w:rStyle w:val="Hyperlink"/>
            <w:rFonts w:ascii="MS Gothic" w:eastAsia="MS Gothic" w:hAnsi="MS Gothic" w:cs="MS Gothic" w:hint="eastAsia"/>
          </w:rPr>
          <w:t> </w:t>
        </w:r>
        <w:r w:rsidRPr="00DB5F25">
          <w:rPr>
            <w:rStyle w:val="Hyperlink"/>
          </w:rPr>
          <w:t>-physical-and-social-science/home.htm</w:t>
        </w:r>
      </w:hyperlink>
      <w:r w:rsidRPr="00DB5F25">
        <w:t xml:space="preserve"> </w:t>
      </w:r>
      <w:hyperlink r:id="rId29" w:tgtFrame="_blank" w:history="1">
        <w:r w:rsidRPr="00DB5F25">
          <w:rPr>
            <w:rStyle w:val="Hyperlink"/>
          </w:rPr>
          <w:t>Google Scholar</w:t>
        </w:r>
      </w:hyperlink>
    </w:p>
    <w:p w14:paraId="464CE935" w14:textId="77777777" w:rsidR="0029446B" w:rsidRPr="00DB5F25" w:rsidRDefault="0029446B" w:rsidP="0029446B"/>
    <w:p w14:paraId="2FAEF1A0" w14:textId="77777777" w:rsidR="0029446B" w:rsidRPr="00873331" w:rsidRDefault="0029446B" w:rsidP="0029446B">
      <w:pPr>
        <w:rPr>
          <w:rFonts w:asciiTheme="minorHAnsi" w:eastAsiaTheme="minorHAnsi" w:hAnsiTheme="minorHAnsi" w:cstheme="minorBidi"/>
          <w:b/>
          <w:bCs/>
        </w:rPr>
      </w:pPr>
    </w:p>
    <w:p w14:paraId="6578411E" w14:textId="77777777" w:rsidR="0029446B" w:rsidRPr="009B02FB" w:rsidRDefault="0029446B" w:rsidP="0029446B"/>
    <w:p w14:paraId="51670C5D" w14:textId="77777777" w:rsidR="0029446B" w:rsidRDefault="0029446B" w:rsidP="0029446B">
      <w:proofErr w:type="spellStart"/>
      <w:r w:rsidRPr="0017666B">
        <w:t>Orndorf</w:t>
      </w:r>
      <w:proofErr w:type="spellEnd"/>
      <w:r w:rsidRPr="0017666B">
        <w:t xml:space="preserve">, H. C., Waterman, M., Lange, D., </w:t>
      </w:r>
      <w:proofErr w:type="spellStart"/>
      <w:r w:rsidRPr="0017666B">
        <w:t>Kavin</w:t>
      </w:r>
      <w:proofErr w:type="spellEnd"/>
      <w:r w:rsidRPr="0017666B">
        <w:t xml:space="preserve">, D., Johnston, S. C., &amp; Jenkins, K. P. (2022). Opening the Pathway: An Example of Universal Design for Learning as a Guide to Inclusive Teaching Practices. </w:t>
      </w:r>
      <w:r w:rsidRPr="0017666B">
        <w:rPr>
          <w:i/>
          <w:iCs/>
        </w:rPr>
        <w:t>CBE—Life Sciences Education</w:t>
      </w:r>
      <w:r w:rsidRPr="0017666B">
        <w:t xml:space="preserve">, </w:t>
      </w:r>
      <w:r w:rsidRPr="0017666B">
        <w:rPr>
          <w:i/>
          <w:iCs/>
        </w:rPr>
        <w:t>21</w:t>
      </w:r>
      <w:r w:rsidRPr="0017666B">
        <w:t>(2), ar28.</w:t>
      </w:r>
      <w:r w:rsidRPr="004F57CC">
        <w:t xml:space="preserve"> </w:t>
      </w:r>
      <w:hyperlink r:id="rId30" w:history="1">
        <w:r>
          <w:rPr>
            <w:rStyle w:val="Hyperlink"/>
          </w:rPr>
          <w:t>https://doi.org/10.1187/cbe.21-09-0239</w:t>
        </w:r>
      </w:hyperlink>
    </w:p>
    <w:p w14:paraId="79523E46" w14:textId="77777777" w:rsidR="0029446B" w:rsidRPr="0017666B" w:rsidRDefault="0029446B" w:rsidP="0029446B"/>
    <w:p w14:paraId="632BF23F" w14:textId="77777777" w:rsidR="0029446B" w:rsidRPr="0017666B" w:rsidRDefault="0029446B" w:rsidP="0029446B">
      <w:r w:rsidRPr="0017666B">
        <w:t>.</w:t>
      </w:r>
    </w:p>
    <w:p w14:paraId="27F94D9B" w14:textId="77777777" w:rsidR="0029446B" w:rsidRDefault="0029446B" w:rsidP="0029446B">
      <w:r w:rsidRPr="0035654D">
        <w:t xml:space="preserve">Parker, H. B. (2012). Learning starts with design: Using universal design for learning (UDL) in higher education course redesign. </w:t>
      </w:r>
      <w:r w:rsidRPr="0035654D">
        <w:rPr>
          <w:i/>
          <w:iCs/>
        </w:rPr>
        <w:t>Transforming learning environments: Strategies to shape the next generation</w:t>
      </w:r>
      <w:r w:rsidRPr="0035654D">
        <w:t>.</w:t>
      </w:r>
    </w:p>
    <w:p w14:paraId="2222EA4F" w14:textId="77777777" w:rsidR="0029446B" w:rsidRPr="0035654D" w:rsidRDefault="0029446B" w:rsidP="0029446B"/>
    <w:p w14:paraId="3083989D" w14:textId="77777777" w:rsidR="0029446B" w:rsidRDefault="0029446B" w:rsidP="0029446B">
      <w:r w:rsidRPr="0035654D">
        <w:t>Rushworth, J., Graham Lawson, U. J., Desai, N. J., &amp; Moriarty, A. 5 A novel bioscience ‘</w:t>
      </w:r>
      <w:proofErr w:type="spellStart"/>
      <w:r w:rsidRPr="0035654D">
        <w:t>capstudy’assessment</w:t>
      </w:r>
      <w:proofErr w:type="spellEnd"/>
      <w:r w:rsidRPr="0035654D">
        <w:t xml:space="preserve"> based on Universal Design for Learning (UDL). </w:t>
      </w:r>
      <w:r w:rsidRPr="0035654D">
        <w:rPr>
          <w:i/>
          <w:iCs/>
        </w:rPr>
        <w:t>Notes on contributors</w:t>
      </w:r>
      <w:r w:rsidRPr="0035654D">
        <w:t>, 69.</w:t>
      </w:r>
    </w:p>
    <w:p w14:paraId="4382968D" w14:textId="77777777" w:rsidR="0029446B" w:rsidRDefault="0029446B" w:rsidP="0029446B"/>
    <w:p w14:paraId="03D67F0F" w14:textId="77777777" w:rsidR="0029446B" w:rsidRDefault="0029446B" w:rsidP="0029446B">
      <w:pPr>
        <w:widowControl w:val="0"/>
        <w:autoSpaceDE w:val="0"/>
        <w:autoSpaceDN w:val="0"/>
        <w:adjustRightInd w:val="0"/>
        <w:ind w:left="480" w:hanging="480"/>
        <w:rPr>
          <w:rFonts w:ascii="Arial" w:hAnsi="Arial" w:cs="Arial"/>
          <w:noProof/>
          <w:sz w:val="22"/>
          <w:szCs w:val="22"/>
        </w:rPr>
      </w:pPr>
      <w:r w:rsidRPr="002E59A8">
        <w:rPr>
          <w:rFonts w:ascii="Arial" w:hAnsi="Arial" w:cs="Arial"/>
          <w:noProof/>
          <w:sz w:val="22"/>
          <w:szCs w:val="22"/>
        </w:rPr>
        <w:t xml:space="preserve">Chardin, M., &amp; Novak, K. (2021). </w:t>
      </w:r>
      <w:r w:rsidRPr="002E59A8">
        <w:rPr>
          <w:rFonts w:ascii="Arial" w:hAnsi="Arial" w:cs="Arial"/>
          <w:i/>
          <w:iCs/>
          <w:noProof/>
          <w:sz w:val="22"/>
          <w:szCs w:val="22"/>
        </w:rPr>
        <w:t>Equity by design Delivering on the power and promise of UDL</w:t>
      </w:r>
      <w:r w:rsidRPr="002E59A8">
        <w:rPr>
          <w:rFonts w:ascii="Arial" w:hAnsi="Arial" w:cs="Arial"/>
          <w:noProof/>
          <w:sz w:val="22"/>
          <w:szCs w:val="22"/>
        </w:rPr>
        <w:t>. Corwin A Sage Company.</w:t>
      </w:r>
    </w:p>
    <w:p w14:paraId="56D52223" w14:textId="77777777" w:rsidR="0029446B" w:rsidRDefault="0029446B" w:rsidP="0029446B"/>
    <w:p w14:paraId="498B81B0" w14:textId="77777777" w:rsidR="0029446B" w:rsidRPr="00DB5F25" w:rsidRDefault="0029446B" w:rsidP="0029446B">
      <w:r w:rsidRPr="00DB5F25">
        <w:t xml:space="preserve">Braun, D. C., Clark, M. D., </w:t>
      </w:r>
      <w:proofErr w:type="spellStart"/>
      <w:r w:rsidRPr="00DB5F25">
        <w:t>Marchut</w:t>
      </w:r>
      <w:proofErr w:type="spellEnd"/>
      <w:r w:rsidRPr="00DB5F25">
        <w:t xml:space="preserve">, A. E., Solomon, C. M., </w:t>
      </w:r>
      <w:proofErr w:type="spellStart"/>
      <w:r w:rsidRPr="00DB5F25">
        <w:t>Majocha</w:t>
      </w:r>
      <w:proofErr w:type="spellEnd"/>
      <w:r w:rsidRPr="00DB5F25">
        <w:t xml:space="preserve">, M., Davenport, Z., ... &amp; </w:t>
      </w:r>
      <w:proofErr w:type="spellStart"/>
      <w:r w:rsidRPr="00DB5F25">
        <w:t>Gormally</w:t>
      </w:r>
      <w:proofErr w:type="spellEnd"/>
      <w:r w:rsidRPr="00DB5F25">
        <w:t xml:space="preserve">, C. (2018). Welcoming deaf students into STEM: Recommendations for university science education. </w:t>
      </w:r>
      <w:r w:rsidRPr="00DB5F25">
        <w:rPr>
          <w:b/>
          <w:bCs/>
        </w:rPr>
        <w:t>CBE—Life Sciences Education</w:t>
      </w:r>
      <w:r w:rsidRPr="00DB5F25">
        <w:t xml:space="preserve">, </w:t>
      </w:r>
      <w:r w:rsidRPr="00DB5F25">
        <w:rPr>
          <w:i/>
          <w:iCs/>
        </w:rPr>
        <w:t>17</w:t>
      </w:r>
      <w:r w:rsidRPr="00DB5F25">
        <w:t xml:space="preserve">(3), es10. </w:t>
      </w:r>
      <w:hyperlink r:id="rId31" w:tgtFrame="_blank" w:history="1">
        <w:r w:rsidRPr="00DB5F25">
          <w:rPr>
            <w:rStyle w:val="Hyperlink"/>
          </w:rPr>
          <w:t>Link</w:t>
        </w:r>
      </w:hyperlink>
      <w:r w:rsidRPr="00DB5F25">
        <w:t>, </w:t>
      </w:r>
      <w:hyperlink r:id="rId32" w:tgtFrame="_blank" w:history="1">
        <w:r w:rsidRPr="00DB5F25">
          <w:rPr>
            <w:rStyle w:val="Hyperlink"/>
          </w:rPr>
          <w:t>Google Scholar</w:t>
        </w:r>
      </w:hyperlink>
    </w:p>
    <w:p w14:paraId="07FB2923" w14:textId="77777777" w:rsidR="0029446B" w:rsidRDefault="0029446B" w:rsidP="0029446B"/>
    <w:p w14:paraId="4965E248" w14:textId="77777777" w:rsidR="0029446B" w:rsidRPr="00DB5F25" w:rsidRDefault="0029446B" w:rsidP="0029446B">
      <w:r w:rsidRPr="00DB5F25">
        <w:t xml:space="preserve">Braun, D. C., </w:t>
      </w:r>
      <w:proofErr w:type="spellStart"/>
      <w:r w:rsidRPr="00DB5F25">
        <w:t>Gormally</w:t>
      </w:r>
      <w:proofErr w:type="spellEnd"/>
      <w:r w:rsidRPr="00DB5F25">
        <w:t xml:space="preserve">, C., &amp; Clark, M. D. (2017). The Deaf Mentoring Survey: A community cultural wealth framework for measuring mentoring effectiveness with underrepresented students. </w:t>
      </w:r>
      <w:r w:rsidRPr="00DB5F25">
        <w:rPr>
          <w:b/>
          <w:bCs/>
        </w:rPr>
        <w:t>CBE—Life Sciences Education</w:t>
      </w:r>
      <w:r w:rsidRPr="00DB5F25">
        <w:t xml:space="preserve">, </w:t>
      </w:r>
      <w:r w:rsidRPr="00DB5F25">
        <w:rPr>
          <w:i/>
          <w:iCs/>
        </w:rPr>
        <w:t>16</w:t>
      </w:r>
      <w:r w:rsidRPr="00DB5F25">
        <w:t xml:space="preserve">(1), ar10. </w:t>
      </w:r>
      <w:hyperlink r:id="rId33" w:tgtFrame="_blank" w:history="1">
        <w:r w:rsidRPr="00DB5F25">
          <w:rPr>
            <w:rStyle w:val="Hyperlink"/>
          </w:rPr>
          <w:t>Link</w:t>
        </w:r>
      </w:hyperlink>
      <w:r w:rsidRPr="00DB5F25">
        <w:t>, </w:t>
      </w:r>
      <w:hyperlink r:id="rId34" w:tgtFrame="_blank" w:history="1">
        <w:r w:rsidRPr="00DB5F25">
          <w:rPr>
            <w:rStyle w:val="Hyperlink"/>
          </w:rPr>
          <w:t>Google Scholar</w:t>
        </w:r>
      </w:hyperlink>
    </w:p>
    <w:p w14:paraId="64A6B155" w14:textId="77777777" w:rsidR="0029446B" w:rsidRDefault="0029446B" w:rsidP="0029446B"/>
    <w:p w14:paraId="69EDE72A" w14:textId="77777777" w:rsidR="0029446B" w:rsidRDefault="0029446B" w:rsidP="0029446B">
      <w:pPr>
        <w:pStyle w:val="Heading3"/>
      </w:pPr>
      <w:hyperlink r:id="rId35" w:history="1">
        <w:r>
          <w:rPr>
            <w:rStyle w:val="Hyperlink"/>
          </w:rPr>
          <w:t>Opening the Pathway: An Example of Universal Design for Learning as a Guide to Inclusive Teaching Practices</w:t>
        </w:r>
      </w:hyperlink>
    </w:p>
    <w:p w14:paraId="66CA1591" w14:textId="77777777" w:rsidR="0029446B" w:rsidRDefault="0029446B" w:rsidP="0029446B">
      <w:r>
        <w:t xml:space="preserve">HC </w:t>
      </w:r>
      <w:proofErr w:type="spellStart"/>
      <w:r>
        <w:t>Orndorf</w:t>
      </w:r>
      <w:proofErr w:type="spellEnd"/>
      <w:r>
        <w:t>, M Waterman, D Lange… - CBE—Life Sciences …, 2022 - Am Soc Cell Biol</w:t>
      </w:r>
    </w:p>
    <w:p w14:paraId="71AA374F" w14:textId="77777777" w:rsidR="0029446B" w:rsidRDefault="0029446B" w:rsidP="0029446B">
      <w:r>
        <w:lastRenderedPageBreak/>
        <w:t xml:space="preserve">… pedagogical practices, specifically </w:t>
      </w:r>
      <w:r>
        <w:rPr>
          <w:b/>
          <w:bCs/>
        </w:rPr>
        <w:t>case</w:t>
      </w:r>
      <w:r>
        <w:t>-</w:t>
      </w:r>
      <w:r>
        <w:rPr>
          <w:b/>
          <w:bCs/>
        </w:rPr>
        <w:t>based</w:t>
      </w:r>
      <w:r>
        <w:t xml:space="preserve"> </w:t>
      </w:r>
      <w:r>
        <w:rPr>
          <w:b/>
          <w:bCs/>
        </w:rPr>
        <w:t>learning</w:t>
      </w:r>
      <w:r>
        <w:t xml:space="preserve">, inclusive and </w:t>
      </w:r>
      <w:r>
        <w:rPr>
          <w:b/>
          <w:bCs/>
        </w:rPr>
        <w:t>UDL</w:t>
      </w:r>
      <w:r>
        <w:t xml:space="preserve">-aligned in an … </w:t>
      </w:r>
      <w:r>
        <w:br/>
        <w:t xml:space="preserve">of applying </w:t>
      </w:r>
      <w:r>
        <w:rPr>
          <w:b/>
          <w:bCs/>
        </w:rPr>
        <w:t>UDL</w:t>
      </w:r>
      <w:r>
        <w:t xml:space="preserve"> to introductory biology at the high school and </w:t>
      </w:r>
      <w:r>
        <w:rPr>
          <w:b/>
          <w:bCs/>
        </w:rPr>
        <w:t>community</w:t>
      </w:r>
      <w:r>
        <w:t xml:space="preserve"> </w:t>
      </w:r>
      <w:r>
        <w:rPr>
          <w:b/>
          <w:bCs/>
        </w:rPr>
        <w:t>college</w:t>
      </w:r>
      <w:r>
        <w:t xml:space="preserve"> levels to …</w:t>
      </w:r>
    </w:p>
    <w:p w14:paraId="2A18D786" w14:textId="77777777" w:rsidR="0029446B" w:rsidRDefault="0029446B" w:rsidP="0029446B">
      <w:pPr>
        <w:pStyle w:val="Heading3"/>
      </w:pPr>
      <w:hyperlink r:id="rId36" w:history="1">
        <w:r>
          <w:rPr>
            <w:rStyle w:val="Hyperlink"/>
          </w:rPr>
          <w:t>Learning starts with design: Using universal design for learning (UDL) in higher education course redesign</w:t>
        </w:r>
      </w:hyperlink>
    </w:p>
    <w:p w14:paraId="1610F30B" w14:textId="77777777" w:rsidR="0029446B" w:rsidRDefault="0029446B" w:rsidP="0029446B">
      <w:hyperlink r:id="rId37" w:history="1">
        <w:r>
          <w:rPr>
            <w:rStyle w:val="Hyperlink"/>
          </w:rPr>
          <w:t>HB Parker</w:t>
        </w:r>
      </w:hyperlink>
      <w:r>
        <w:t xml:space="preserve"> - Transforming </w:t>
      </w:r>
      <w:r>
        <w:rPr>
          <w:b/>
          <w:bCs/>
        </w:rPr>
        <w:t xml:space="preserve">learning </w:t>
      </w:r>
      <w:r>
        <w:t>environments: Strategies to …, 2012 - emerald.com</w:t>
      </w:r>
    </w:p>
    <w:p w14:paraId="2348ABCA" w14:textId="77777777" w:rsidR="0029446B" w:rsidRDefault="0029446B" w:rsidP="0029446B">
      <w:r>
        <w:t xml:space="preserve">… A </w:t>
      </w:r>
      <w:r>
        <w:rPr>
          <w:b/>
          <w:bCs/>
        </w:rPr>
        <w:t>case</w:t>
      </w:r>
      <w:r>
        <w:t>-</w:t>
      </w:r>
      <w:r>
        <w:rPr>
          <w:b/>
          <w:bCs/>
        </w:rPr>
        <w:t>based</w:t>
      </w:r>
      <w:r>
        <w:t xml:space="preserve"> approach to professional development can provide time to see how faculty in </w:t>
      </w:r>
      <w:r>
        <w:br/>
      </w:r>
      <w:proofErr w:type="gramStart"/>
      <w:r>
        <w:t>… ,</w:t>
      </w:r>
      <w:proofErr w:type="gramEnd"/>
      <w:r>
        <w:t xml:space="preserve"> With a Special Analysis of </w:t>
      </w:r>
      <w:r>
        <w:rPr>
          <w:b/>
          <w:bCs/>
        </w:rPr>
        <w:t>Community</w:t>
      </w:r>
      <w:r>
        <w:t xml:space="preserve"> </w:t>
      </w:r>
      <w:r>
        <w:rPr>
          <w:b/>
          <w:bCs/>
        </w:rPr>
        <w:t>College</w:t>
      </w:r>
      <w:r>
        <w:t xml:space="preserve"> </w:t>
      </w:r>
      <w:proofErr w:type="spellStart"/>
      <w:r>
        <w:t>Students:Eleven</w:t>
      </w:r>
      <w:proofErr w:type="spellEnd"/>
      <w:r>
        <w:t xml:space="preserve"> percent of undergraduates </w:t>
      </w:r>
    </w:p>
    <w:p w14:paraId="35F3201A" w14:textId="77777777" w:rsidR="0029446B" w:rsidRDefault="0029446B" w:rsidP="0029446B"/>
    <w:p w14:paraId="4B23565E" w14:textId="77777777" w:rsidR="0029446B" w:rsidRDefault="0029446B" w:rsidP="0029446B"/>
    <w:p w14:paraId="25B53495" w14:textId="77777777" w:rsidR="0029446B" w:rsidRDefault="0029446B" w:rsidP="0029446B"/>
    <w:p w14:paraId="33AF0934" w14:textId="77777777" w:rsidR="0029446B" w:rsidRDefault="0029446B" w:rsidP="0029446B">
      <w:pPr>
        <w:rPr>
          <w:rStyle w:val="Hyperlink"/>
        </w:rPr>
      </w:pPr>
      <w:proofErr w:type="spellStart"/>
      <w:r>
        <w:t>Orndorf</w:t>
      </w:r>
      <w:proofErr w:type="spellEnd"/>
      <w:r>
        <w:t xml:space="preserve">, H. (2022). </w:t>
      </w:r>
      <w:hyperlink r:id="rId38" w:tgtFrame="_blank" w:history="1">
        <w:r>
          <w:rPr>
            <w:rStyle w:val="Hyperlink"/>
          </w:rPr>
          <w:t>Beyond Average: Designing for Variability with Universal Design for Learning</w:t>
        </w:r>
      </w:hyperlink>
      <w:r>
        <w:t xml:space="preserve">. </w:t>
      </w:r>
      <w:hyperlink r:id="rId39" w:history="1">
        <w:r>
          <w:rPr>
            <w:rStyle w:val="Hyperlink"/>
          </w:rPr>
          <w:t>Universal Design for Learning</w:t>
        </w:r>
      </w:hyperlink>
      <w:r>
        <w:t xml:space="preserve">, QUBES Educational Resources. </w:t>
      </w:r>
      <w:hyperlink r:id="rId40" w:tgtFrame="_blank" w:history="1">
        <w:r>
          <w:rPr>
            <w:rStyle w:val="Hyperlink"/>
          </w:rPr>
          <w:t>doi:10.25334/QRRW-N659</w:t>
        </w:r>
      </w:hyperlink>
    </w:p>
    <w:p w14:paraId="5D00D7E5" w14:textId="77777777" w:rsidR="0029446B" w:rsidRDefault="0029446B" w:rsidP="0029446B"/>
    <w:p w14:paraId="03B6411A" w14:textId="77777777" w:rsidR="000725D1" w:rsidRDefault="000725D1"/>
    <w:sectPr w:rsidR="000725D1" w:rsidSect="00F9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6B"/>
    <w:rsid w:val="00000C5D"/>
    <w:rsid w:val="0000325B"/>
    <w:rsid w:val="00004222"/>
    <w:rsid w:val="000061F6"/>
    <w:rsid w:val="00014AD3"/>
    <w:rsid w:val="00016D30"/>
    <w:rsid w:val="0002198D"/>
    <w:rsid w:val="00024F42"/>
    <w:rsid w:val="0002642A"/>
    <w:rsid w:val="00027AB2"/>
    <w:rsid w:val="000314A2"/>
    <w:rsid w:val="00032FC0"/>
    <w:rsid w:val="000456BF"/>
    <w:rsid w:val="000515FC"/>
    <w:rsid w:val="00051F4A"/>
    <w:rsid w:val="000537AF"/>
    <w:rsid w:val="000663E7"/>
    <w:rsid w:val="000666C7"/>
    <w:rsid w:val="000725D1"/>
    <w:rsid w:val="00084B7A"/>
    <w:rsid w:val="00086414"/>
    <w:rsid w:val="00090614"/>
    <w:rsid w:val="000922B4"/>
    <w:rsid w:val="000A1137"/>
    <w:rsid w:val="000A7320"/>
    <w:rsid w:val="000B3A68"/>
    <w:rsid w:val="000C1185"/>
    <w:rsid w:val="000D4DE2"/>
    <w:rsid w:val="000D6EC6"/>
    <w:rsid w:val="000E0495"/>
    <w:rsid w:val="000E41DD"/>
    <w:rsid w:val="000E5B88"/>
    <w:rsid w:val="000F4F77"/>
    <w:rsid w:val="000F7077"/>
    <w:rsid w:val="0011269A"/>
    <w:rsid w:val="00114985"/>
    <w:rsid w:val="00116A30"/>
    <w:rsid w:val="00121A0A"/>
    <w:rsid w:val="001250A8"/>
    <w:rsid w:val="00133B08"/>
    <w:rsid w:val="00134F2E"/>
    <w:rsid w:val="001420AF"/>
    <w:rsid w:val="00150C2D"/>
    <w:rsid w:val="00157995"/>
    <w:rsid w:val="00157B5B"/>
    <w:rsid w:val="00161820"/>
    <w:rsid w:val="00163756"/>
    <w:rsid w:val="0017262C"/>
    <w:rsid w:val="00174983"/>
    <w:rsid w:val="00176BD6"/>
    <w:rsid w:val="00182F5D"/>
    <w:rsid w:val="00183639"/>
    <w:rsid w:val="00185620"/>
    <w:rsid w:val="001918C2"/>
    <w:rsid w:val="001A1AA6"/>
    <w:rsid w:val="001B0E36"/>
    <w:rsid w:val="001B3850"/>
    <w:rsid w:val="001B5F25"/>
    <w:rsid w:val="001C6352"/>
    <w:rsid w:val="001C7902"/>
    <w:rsid w:val="001D6229"/>
    <w:rsid w:val="001E18FF"/>
    <w:rsid w:val="0020276F"/>
    <w:rsid w:val="0021283C"/>
    <w:rsid w:val="00226847"/>
    <w:rsid w:val="0022718E"/>
    <w:rsid w:val="002535D0"/>
    <w:rsid w:val="00254810"/>
    <w:rsid w:val="002667E1"/>
    <w:rsid w:val="002676AC"/>
    <w:rsid w:val="0027294A"/>
    <w:rsid w:val="002732DE"/>
    <w:rsid w:val="00286963"/>
    <w:rsid w:val="00287CCB"/>
    <w:rsid w:val="002913CD"/>
    <w:rsid w:val="0029446B"/>
    <w:rsid w:val="002A1887"/>
    <w:rsid w:val="002A224D"/>
    <w:rsid w:val="002B13EB"/>
    <w:rsid w:val="002B1A32"/>
    <w:rsid w:val="002C1976"/>
    <w:rsid w:val="002D5879"/>
    <w:rsid w:val="00300A8F"/>
    <w:rsid w:val="00302593"/>
    <w:rsid w:val="00306E8D"/>
    <w:rsid w:val="00311935"/>
    <w:rsid w:val="003169C5"/>
    <w:rsid w:val="00316B14"/>
    <w:rsid w:val="00325334"/>
    <w:rsid w:val="0032548D"/>
    <w:rsid w:val="00346FF0"/>
    <w:rsid w:val="003577B2"/>
    <w:rsid w:val="00364FB4"/>
    <w:rsid w:val="00365F68"/>
    <w:rsid w:val="00370803"/>
    <w:rsid w:val="00371DF4"/>
    <w:rsid w:val="003755B5"/>
    <w:rsid w:val="0037623B"/>
    <w:rsid w:val="00377102"/>
    <w:rsid w:val="00383C36"/>
    <w:rsid w:val="003855D3"/>
    <w:rsid w:val="00395C7E"/>
    <w:rsid w:val="003A27B5"/>
    <w:rsid w:val="003B297F"/>
    <w:rsid w:val="003E40C0"/>
    <w:rsid w:val="00403E03"/>
    <w:rsid w:val="004041FC"/>
    <w:rsid w:val="00404A72"/>
    <w:rsid w:val="00404E33"/>
    <w:rsid w:val="004166DF"/>
    <w:rsid w:val="00424A33"/>
    <w:rsid w:val="004315FE"/>
    <w:rsid w:val="0044068E"/>
    <w:rsid w:val="0045202F"/>
    <w:rsid w:val="00453F45"/>
    <w:rsid w:val="00457C10"/>
    <w:rsid w:val="004611A1"/>
    <w:rsid w:val="0047131D"/>
    <w:rsid w:val="004733C7"/>
    <w:rsid w:val="004756E6"/>
    <w:rsid w:val="00482357"/>
    <w:rsid w:val="00486574"/>
    <w:rsid w:val="004905E3"/>
    <w:rsid w:val="0049250E"/>
    <w:rsid w:val="00495657"/>
    <w:rsid w:val="004A3E84"/>
    <w:rsid w:val="004A5840"/>
    <w:rsid w:val="004B3D75"/>
    <w:rsid w:val="004B675F"/>
    <w:rsid w:val="004C0347"/>
    <w:rsid w:val="004C2ECE"/>
    <w:rsid w:val="004C6BD7"/>
    <w:rsid w:val="004F0CF6"/>
    <w:rsid w:val="004F2E9F"/>
    <w:rsid w:val="00500C8D"/>
    <w:rsid w:val="00500FC8"/>
    <w:rsid w:val="005048AC"/>
    <w:rsid w:val="0051042D"/>
    <w:rsid w:val="0051192A"/>
    <w:rsid w:val="0051283B"/>
    <w:rsid w:val="00522691"/>
    <w:rsid w:val="00536E5C"/>
    <w:rsid w:val="0054224F"/>
    <w:rsid w:val="00550D0B"/>
    <w:rsid w:val="00551397"/>
    <w:rsid w:val="00567CB7"/>
    <w:rsid w:val="005709C4"/>
    <w:rsid w:val="00580AD6"/>
    <w:rsid w:val="00591F44"/>
    <w:rsid w:val="005949E1"/>
    <w:rsid w:val="005965B7"/>
    <w:rsid w:val="005A04AA"/>
    <w:rsid w:val="005A3ECB"/>
    <w:rsid w:val="005A49B9"/>
    <w:rsid w:val="005A62B8"/>
    <w:rsid w:val="005C04EB"/>
    <w:rsid w:val="005C0E2D"/>
    <w:rsid w:val="005D2F2C"/>
    <w:rsid w:val="005E139B"/>
    <w:rsid w:val="005F0BEC"/>
    <w:rsid w:val="005F31CF"/>
    <w:rsid w:val="005F65FA"/>
    <w:rsid w:val="006000AD"/>
    <w:rsid w:val="0060533E"/>
    <w:rsid w:val="0060753C"/>
    <w:rsid w:val="00607A40"/>
    <w:rsid w:val="00611908"/>
    <w:rsid w:val="00611ACC"/>
    <w:rsid w:val="00631E7D"/>
    <w:rsid w:val="00632958"/>
    <w:rsid w:val="00632F11"/>
    <w:rsid w:val="00633381"/>
    <w:rsid w:val="00634182"/>
    <w:rsid w:val="00644953"/>
    <w:rsid w:val="00646E0D"/>
    <w:rsid w:val="0068101B"/>
    <w:rsid w:val="00686742"/>
    <w:rsid w:val="00695A8B"/>
    <w:rsid w:val="006A0435"/>
    <w:rsid w:val="006A2D5A"/>
    <w:rsid w:val="006B04C2"/>
    <w:rsid w:val="006B1F46"/>
    <w:rsid w:val="006B4601"/>
    <w:rsid w:val="006C5A7B"/>
    <w:rsid w:val="006D0C50"/>
    <w:rsid w:val="006D6EF7"/>
    <w:rsid w:val="006D74EB"/>
    <w:rsid w:val="006F5677"/>
    <w:rsid w:val="00715396"/>
    <w:rsid w:val="00726641"/>
    <w:rsid w:val="00726DA3"/>
    <w:rsid w:val="00731574"/>
    <w:rsid w:val="007326E9"/>
    <w:rsid w:val="00737B2E"/>
    <w:rsid w:val="00742479"/>
    <w:rsid w:val="00747E25"/>
    <w:rsid w:val="007510F1"/>
    <w:rsid w:val="00751A5F"/>
    <w:rsid w:val="007575B3"/>
    <w:rsid w:val="007642E9"/>
    <w:rsid w:val="0077124B"/>
    <w:rsid w:val="007756EF"/>
    <w:rsid w:val="00784CB3"/>
    <w:rsid w:val="00786B14"/>
    <w:rsid w:val="00787FB0"/>
    <w:rsid w:val="00790CC6"/>
    <w:rsid w:val="007C193E"/>
    <w:rsid w:val="007C2470"/>
    <w:rsid w:val="007C5F17"/>
    <w:rsid w:val="007C66B1"/>
    <w:rsid w:val="007D01D0"/>
    <w:rsid w:val="007D67E6"/>
    <w:rsid w:val="007E3EB0"/>
    <w:rsid w:val="007E5A48"/>
    <w:rsid w:val="008037AB"/>
    <w:rsid w:val="008117B5"/>
    <w:rsid w:val="00811A29"/>
    <w:rsid w:val="00821506"/>
    <w:rsid w:val="008257E2"/>
    <w:rsid w:val="00834AF2"/>
    <w:rsid w:val="00842C4B"/>
    <w:rsid w:val="00847A4D"/>
    <w:rsid w:val="00852316"/>
    <w:rsid w:val="008558E0"/>
    <w:rsid w:val="008614FC"/>
    <w:rsid w:val="00864976"/>
    <w:rsid w:val="00866D54"/>
    <w:rsid w:val="008736B4"/>
    <w:rsid w:val="0087377F"/>
    <w:rsid w:val="00874C43"/>
    <w:rsid w:val="00877FFE"/>
    <w:rsid w:val="00885403"/>
    <w:rsid w:val="0089282B"/>
    <w:rsid w:val="00894474"/>
    <w:rsid w:val="008A0F0C"/>
    <w:rsid w:val="008C5D6A"/>
    <w:rsid w:val="008D13F4"/>
    <w:rsid w:val="008D6BBA"/>
    <w:rsid w:val="008D7129"/>
    <w:rsid w:val="008D78D1"/>
    <w:rsid w:val="008F0A4D"/>
    <w:rsid w:val="00900A24"/>
    <w:rsid w:val="009041A9"/>
    <w:rsid w:val="009047AC"/>
    <w:rsid w:val="009147C0"/>
    <w:rsid w:val="00915954"/>
    <w:rsid w:val="00924B52"/>
    <w:rsid w:val="00931C46"/>
    <w:rsid w:val="00940763"/>
    <w:rsid w:val="009605A4"/>
    <w:rsid w:val="00964C4A"/>
    <w:rsid w:val="00965933"/>
    <w:rsid w:val="009712DD"/>
    <w:rsid w:val="00973AE7"/>
    <w:rsid w:val="00976C56"/>
    <w:rsid w:val="00984054"/>
    <w:rsid w:val="00986049"/>
    <w:rsid w:val="009969D2"/>
    <w:rsid w:val="009978E1"/>
    <w:rsid w:val="009A7AF0"/>
    <w:rsid w:val="009B5D6E"/>
    <w:rsid w:val="009C47C5"/>
    <w:rsid w:val="009C5413"/>
    <w:rsid w:val="009D5FFB"/>
    <w:rsid w:val="009D7A01"/>
    <w:rsid w:val="009E5D50"/>
    <w:rsid w:val="009F010F"/>
    <w:rsid w:val="009F5795"/>
    <w:rsid w:val="00A01EB8"/>
    <w:rsid w:val="00A031CD"/>
    <w:rsid w:val="00A03A70"/>
    <w:rsid w:val="00A0777A"/>
    <w:rsid w:val="00A21CF7"/>
    <w:rsid w:val="00A378B6"/>
    <w:rsid w:val="00A403ED"/>
    <w:rsid w:val="00A4082F"/>
    <w:rsid w:val="00A4105F"/>
    <w:rsid w:val="00A4337E"/>
    <w:rsid w:val="00A57711"/>
    <w:rsid w:val="00A601FE"/>
    <w:rsid w:val="00A712FC"/>
    <w:rsid w:val="00A75839"/>
    <w:rsid w:val="00A75CEA"/>
    <w:rsid w:val="00A7627E"/>
    <w:rsid w:val="00A925B0"/>
    <w:rsid w:val="00AA0158"/>
    <w:rsid w:val="00AA06DE"/>
    <w:rsid w:val="00AA2273"/>
    <w:rsid w:val="00AB2536"/>
    <w:rsid w:val="00AC32B0"/>
    <w:rsid w:val="00AE0089"/>
    <w:rsid w:val="00AE25FF"/>
    <w:rsid w:val="00AE2DD2"/>
    <w:rsid w:val="00AF1428"/>
    <w:rsid w:val="00AF33B4"/>
    <w:rsid w:val="00AF6C9D"/>
    <w:rsid w:val="00AF7539"/>
    <w:rsid w:val="00AF7CDB"/>
    <w:rsid w:val="00B034E1"/>
    <w:rsid w:val="00B1160D"/>
    <w:rsid w:val="00B1284C"/>
    <w:rsid w:val="00B13DB4"/>
    <w:rsid w:val="00B13F3D"/>
    <w:rsid w:val="00B14029"/>
    <w:rsid w:val="00B14B4E"/>
    <w:rsid w:val="00B22069"/>
    <w:rsid w:val="00B240C8"/>
    <w:rsid w:val="00B2617A"/>
    <w:rsid w:val="00B3045B"/>
    <w:rsid w:val="00B34C03"/>
    <w:rsid w:val="00B3516C"/>
    <w:rsid w:val="00B57F90"/>
    <w:rsid w:val="00B71E12"/>
    <w:rsid w:val="00B9304B"/>
    <w:rsid w:val="00BA2BC2"/>
    <w:rsid w:val="00BA43D7"/>
    <w:rsid w:val="00BB0445"/>
    <w:rsid w:val="00BB3E75"/>
    <w:rsid w:val="00BB6FE4"/>
    <w:rsid w:val="00BD249F"/>
    <w:rsid w:val="00BE3A45"/>
    <w:rsid w:val="00BF21D3"/>
    <w:rsid w:val="00BF317B"/>
    <w:rsid w:val="00BF5611"/>
    <w:rsid w:val="00BF7F7D"/>
    <w:rsid w:val="00C11D30"/>
    <w:rsid w:val="00C13B04"/>
    <w:rsid w:val="00C15BD0"/>
    <w:rsid w:val="00C22C6C"/>
    <w:rsid w:val="00C2433F"/>
    <w:rsid w:val="00C26785"/>
    <w:rsid w:val="00C40054"/>
    <w:rsid w:val="00C43795"/>
    <w:rsid w:val="00C5295A"/>
    <w:rsid w:val="00C52AEB"/>
    <w:rsid w:val="00C66A2C"/>
    <w:rsid w:val="00C9754D"/>
    <w:rsid w:val="00CA0406"/>
    <w:rsid w:val="00CA1E20"/>
    <w:rsid w:val="00CA25D2"/>
    <w:rsid w:val="00CB55EC"/>
    <w:rsid w:val="00CC1BD1"/>
    <w:rsid w:val="00CC3B8F"/>
    <w:rsid w:val="00CD1A3A"/>
    <w:rsid w:val="00CE3D4E"/>
    <w:rsid w:val="00CE5223"/>
    <w:rsid w:val="00CF5CC3"/>
    <w:rsid w:val="00D17719"/>
    <w:rsid w:val="00D307F9"/>
    <w:rsid w:val="00D34F21"/>
    <w:rsid w:val="00D35562"/>
    <w:rsid w:val="00D45471"/>
    <w:rsid w:val="00D4597B"/>
    <w:rsid w:val="00D4630A"/>
    <w:rsid w:val="00D5206B"/>
    <w:rsid w:val="00D55254"/>
    <w:rsid w:val="00D603A2"/>
    <w:rsid w:val="00D72715"/>
    <w:rsid w:val="00DA36FA"/>
    <w:rsid w:val="00DB7D3A"/>
    <w:rsid w:val="00DC6482"/>
    <w:rsid w:val="00DD0387"/>
    <w:rsid w:val="00DD0CAB"/>
    <w:rsid w:val="00DD2E73"/>
    <w:rsid w:val="00DD3309"/>
    <w:rsid w:val="00DD75A9"/>
    <w:rsid w:val="00DE168F"/>
    <w:rsid w:val="00DE17B2"/>
    <w:rsid w:val="00DF16C7"/>
    <w:rsid w:val="00DF494A"/>
    <w:rsid w:val="00DF4CF2"/>
    <w:rsid w:val="00DF7FC5"/>
    <w:rsid w:val="00E0028C"/>
    <w:rsid w:val="00E074BC"/>
    <w:rsid w:val="00E10CA3"/>
    <w:rsid w:val="00E24FB3"/>
    <w:rsid w:val="00E26F8C"/>
    <w:rsid w:val="00E2727E"/>
    <w:rsid w:val="00E3283A"/>
    <w:rsid w:val="00E33B7E"/>
    <w:rsid w:val="00E3737E"/>
    <w:rsid w:val="00E413AE"/>
    <w:rsid w:val="00E43D94"/>
    <w:rsid w:val="00E45442"/>
    <w:rsid w:val="00E5311D"/>
    <w:rsid w:val="00E61B56"/>
    <w:rsid w:val="00E713C7"/>
    <w:rsid w:val="00E766F4"/>
    <w:rsid w:val="00E8287B"/>
    <w:rsid w:val="00E834FE"/>
    <w:rsid w:val="00E91006"/>
    <w:rsid w:val="00EB2B9B"/>
    <w:rsid w:val="00EB2EB4"/>
    <w:rsid w:val="00EB41CB"/>
    <w:rsid w:val="00EB6313"/>
    <w:rsid w:val="00EC1A2B"/>
    <w:rsid w:val="00EC48E6"/>
    <w:rsid w:val="00ED13FC"/>
    <w:rsid w:val="00ED4EFF"/>
    <w:rsid w:val="00EF039C"/>
    <w:rsid w:val="00F04127"/>
    <w:rsid w:val="00F16BFA"/>
    <w:rsid w:val="00F264C6"/>
    <w:rsid w:val="00F277AB"/>
    <w:rsid w:val="00F31DFB"/>
    <w:rsid w:val="00F42A05"/>
    <w:rsid w:val="00F52964"/>
    <w:rsid w:val="00F54E0F"/>
    <w:rsid w:val="00F6035C"/>
    <w:rsid w:val="00F62476"/>
    <w:rsid w:val="00F739F8"/>
    <w:rsid w:val="00F73CC9"/>
    <w:rsid w:val="00F763B3"/>
    <w:rsid w:val="00F76C2E"/>
    <w:rsid w:val="00F861B8"/>
    <w:rsid w:val="00F95F74"/>
    <w:rsid w:val="00FA7815"/>
    <w:rsid w:val="00FB21D2"/>
    <w:rsid w:val="00FC427C"/>
    <w:rsid w:val="00FC48A6"/>
    <w:rsid w:val="00FD19BA"/>
    <w:rsid w:val="00FD5A3F"/>
    <w:rsid w:val="00FD627C"/>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277B4"/>
  <w15:chartTrackingRefBased/>
  <w15:docId w15:val="{75E3502D-0BD3-844A-97DC-94ECBD4A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9446B"/>
    <w:rPr>
      <w:rFonts w:ascii="Times New Roman" w:eastAsia="Times New Roman" w:hAnsi="Times New Roman" w:cs="Times New Roman"/>
    </w:rPr>
  </w:style>
  <w:style w:type="paragraph" w:styleId="Heading3">
    <w:name w:val="heading 3"/>
    <w:basedOn w:val="Normal"/>
    <w:link w:val="Heading3Char"/>
    <w:uiPriority w:val="9"/>
    <w:qFormat/>
    <w:rsid w:val="002944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46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9446B"/>
    <w:rPr>
      <w:color w:val="0000FF"/>
      <w:u w:val="single"/>
    </w:rPr>
  </w:style>
  <w:style w:type="paragraph" w:styleId="NormalWeb">
    <w:name w:val="Normal (Web)"/>
    <w:basedOn w:val="Normal"/>
    <w:uiPriority w:val="99"/>
    <w:unhideWhenUsed/>
    <w:rsid w:val="0029446B"/>
    <w:pPr>
      <w:spacing w:before="100" w:beforeAutospacing="1" w:after="100" w:afterAutospacing="1"/>
    </w:pPr>
  </w:style>
  <w:style w:type="character" w:customStyle="1" w:styleId="a-size-base">
    <w:name w:val="a-size-base"/>
    <w:basedOn w:val="DefaultParagraphFont"/>
    <w:rsid w:val="0029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24859">
      <w:bodyDiv w:val="1"/>
      <w:marLeft w:val="0"/>
      <w:marRight w:val="0"/>
      <w:marTop w:val="0"/>
      <w:marBottom w:val="0"/>
      <w:divBdr>
        <w:top w:val="none" w:sz="0" w:space="0" w:color="auto"/>
        <w:left w:val="none" w:sz="0" w:space="0" w:color="auto"/>
        <w:bottom w:val="none" w:sz="0" w:space="0" w:color="auto"/>
        <w:right w:val="none" w:sz="0" w:space="0" w:color="auto"/>
      </w:divBdr>
    </w:div>
    <w:div w:id="16756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7226/18687" TargetMode="External"/><Relationship Id="rId18" Type="http://schemas.openxmlformats.org/officeDocument/2006/relationships/hyperlink" Target="https://qubeshub.org/groups/udl" TargetMode="External"/><Relationship Id="rId26" Type="http://schemas.openxmlformats.org/officeDocument/2006/relationships/hyperlink" Target="https://scholar.google.com/scholar_lookup?hl=en&amp;publication_year=2018&amp;author=K.+Novak&amp;author=K.+Rodriguez&amp;title=UDL+progression+rubric" TargetMode="External"/><Relationship Id="rId39" Type="http://schemas.openxmlformats.org/officeDocument/2006/relationships/hyperlink" Target="https://qubeshub.org/groups/udl" TargetMode="External"/><Relationship Id="rId21" Type="http://schemas.openxmlformats.org/officeDocument/2006/relationships/hyperlink" Target="https://doi.org/10.1177%2F0741932513518980" TargetMode="External"/><Relationship Id="rId34" Type="http://schemas.openxmlformats.org/officeDocument/2006/relationships/hyperlink" Target="https://scholar.google.com/scholar_lookup?hl=en&amp;volume=16&amp;publication_year=2017&amp;pages=ar10&amp;journal=CBE%E2%80%94Life+Sciences+Education&amp;issue=1&amp;author=D.+C.+Braun&amp;author=C.+Gormally&amp;author=M.+D.+Clark&amp;title=The+Deaf+Mentoring+Survey%3A+A+community+cultural+wealth+framework+for+measuring+mentoring+effectiveness+with+underrepresented+students" TargetMode="External"/><Relationship Id="rId42" Type="http://schemas.openxmlformats.org/officeDocument/2006/relationships/theme" Target="theme/theme1.xml"/><Relationship Id="rId7" Type="http://schemas.openxmlformats.org/officeDocument/2006/relationships/hyperlink" Target="https://doi.org/10.1187/cbe.19-01-0021" TargetMode="External"/><Relationship Id="rId2" Type="http://schemas.openxmlformats.org/officeDocument/2006/relationships/settings" Target="settings.xml"/><Relationship Id="rId16" Type="http://schemas.openxmlformats.org/officeDocument/2006/relationships/hyperlink" Target="http://dx.doi.org/10.25334/QRRW-N659" TargetMode="External"/><Relationship Id="rId20" Type="http://schemas.openxmlformats.org/officeDocument/2006/relationships/hyperlink" Target="http://dx.doi.org/10.25334/QRRW-N659" TargetMode="External"/><Relationship Id="rId29" Type="http://schemas.openxmlformats.org/officeDocument/2006/relationships/hyperlink" Target="https://scholar.google.com/scholar_lookup?hl=en&amp;publication_year=2021&amp;author=U.S.+Bureau+of+Labor+Statistics&amp;title=Occupational+outlook+handboo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02/tea.21734" TargetMode="External"/><Relationship Id="rId11" Type="http://schemas.openxmlformats.org/officeDocument/2006/relationships/hyperlink" Target="https://doi.org/10.1007/s11528-019-00385-3" TargetMode="External"/><Relationship Id="rId24" Type="http://schemas.openxmlformats.org/officeDocument/2006/relationships/hyperlink" Target="https://doi.org/10.1016/j.iheduc.2015.08.001" TargetMode="External"/><Relationship Id="rId32" Type="http://schemas.openxmlformats.org/officeDocument/2006/relationships/hyperlink" Target="https://scholar.google.com/scholar_lookup?hl=en&amp;volume=17&amp;publication_year=2018&amp;pages=es10&amp;journal=CBE%E2%80%94Life+Sciences+Education&amp;issue=3&amp;author=D.+C.+Braun&amp;author=M.+D.+Clark&amp;author=A.+E.+Marchut&amp;author=C.+M.+Solomon&amp;author=M.+Majocha&amp;author=Z.+Davenportauthor=C.+Gormally&amp;title=Welcoming+deaf+students+into+STEM%3A+Recommendations+for+university+science+education" TargetMode="External"/><Relationship Id="rId37" Type="http://schemas.openxmlformats.org/officeDocument/2006/relationships/hyperlink" Target="https://scholar.google.com/citations?user=c8VO-l8AAAAJ&amp;hl=en&amp;oi=sra" TargetMode="External"/><Relationship Id="rId40" Type="http://schemas.openxmlformats.org/officeDocument/2006/relationships/hyperlink" Target="http://dx.doi.org/10.25334/QRRW-N659" TargetMode="External"/><Relationship Id="rId5" Type="http://schemas.openxmlformats.org/officeDocument/2006/relationships/hyperlink" Target="https://scholar.google.com/scholar_lookup?hl=en&amp;publication_year=2018&amp;author=CAST&amp;title=Universal+Design+for+Learning+guidelines%2C+version+2.2" TargetMode="External"/><Relationship Id="rId15" Type="http://schemas.openxmlformats.org/officeDocument/2006/relationships/hyperlink" Target="https://doi.org/10.1187/cbe.21-09-0239" TargetMode="External"/><Relationship Id="rId23" Type="http://schemas.openxmlformats.org/officeDocument/2006/relationships/hyperlink" Target="https://docs.google.com/document/d/1wsoF0NgRbj1IZFM8H7FXydbBgxUlKfQchwHLrjMQu8E/edit" TargetMode="External"/><Relationship Id="rId28" Type="http://schemas.openxmlformats.org/officeDocument/2006/relationships/hyperlink" Target="http://www.bls.gov/ooh/life-physical-and-social-science/home.htm" TargetMode="External"/><Relationship Id="rId36" Type="http://schemas.openxmlformats.org/officeDocument/2006/relationships/hyperlink" Target="https://www.emerald.com/insight/content/doi/10.1108/S1479-3660(2012)0000016009/full/html?utm_source=TrendMD&amp;utm_medium=cpc&amp;utm_campaign=Advances_in_Educational_Administration_TrendMD_1" TargetMode="External"/><Relationship Id="rId10" Type="http://schemas.openxmlformats.org/officeDocument/2006/relationships/hyperlink" Target="https://doi.org/10.47678/cjhe.v44i1.183704" TargetMode="External"/><Relationship Id="rId19" Type="http://schemas.openxmlformats.org/officeDocument/2006/relationships/hyperlink" Target="http://dx.doi.org/10.25334/QRRW-N659" TargetMode="External"/><Relationship Id="rId31" Type="http://schemas.openxmlformats.org/officeDocument/2006/relationships/hyperlink" Target="https://www.lifescied.org/doi/10.1187/cbe.17-05-0081" TargetMode="External"/><Relationship Id="rId4" Type="http://schemas.openxmlformats.org/officeDocument/2006/relationships/hyperlink" Target="http://udlguidelines.cast.org" TargetMode="External"/><Relationship Id="rId9" Type="http://schemas.openxmlformats.org/officeDocument/2006/relationships/hyperlink" Target="https://doi.org/10.47678/cjhe.v44i1.183704" TargetMode="External"/><Relationship Id="rId14" Type="http://schemas.openxmlformats.org/officeDocument/2006/relationships/hyperlink" Target="https://doi.org/10.1187/cbe.21-09-0239" TargetMode="External"/><Relationship Id="rId22" Type="http://schemas.openxmlformats.org/officeDocument/2006/relationships/hyperlink" Target="https://doi.org/10.1186/s40594-019-0161-8" TargetMode="External"/><Relationship Id="rId27" Type="http://schemas.openxmlformats.org/officeDocument/2006/relationships/hyperlink" Target="https://scholar.google.com/scholar_lookup?hl=en&amp;publication_year=2018&amp;author=T.+J.+Tobin&amp;author=K.+T.+Behling&amp;title=Reach+everyone%2C+teach+everyone%3A+Universal+Design+for+Learning+in+higher+education" TargetMode="External"/><Relationship Id="rId30" Type="http://schemas.openxmlformats.org/officeDocument/2006/relationships/hyperlink" Target="https://doi.org/10.1187/cbe.21-09-0239" TargetMode="External"/><Relationship Id="rId35" Type="http://schemas.openxmlformats.org/officeDocument/2006/relationships/hyperlink" Target="https://www.lifescied.org/doi/abs/10.1187/cbe.21-09-0239" TargetMode="External"/><Relationship Id="rId8" Type="http://schemas.openxmlformats.org/officeDocument/2006/relationships/hyperlink" Target="https://lse.ascb.org/evidence-based-teaching-guides/inclusive-teaching" TargetMode="External"/><Relationship Id="rId3" Type="http://schemas.openxmlformats.org/officeDocument/2006/relationships/webSettings" Target="webSettings.xml"/><Relationship Id="rId12" Type="http://schemas.openxmlformats.org/officeDocument/2006/relationships/hyperlink" Target="https://ncses.nsf.gov/pubs/nsf19304" TargetMode="External"/><Relationship Id="rId17" Type="http://schemas.openxmlformats.org/officeDocument/2006/relationships/hyperlink" Target="http://dx.doi.org/10.25334/QRRW-N659" TargetMode="External"/><Relationship Id="rId25" Type="http://schemas.openxmlformats.org/officeDocument/2006/relationships/hyperlink" Target="http://castpublishing.org/wp-content/uploads/2018/02/UDL_Progression_Rubric_FINAL_Web_REV1.pdf" TargetMode="External"/><Relationship Id="rId33" Type="http://schemas.openxmlformats.org/officeDocument/2006/relationships/hyperlink" Target="https://www.lifescied.org/doi/10.1187/cbe.15-07-0155" TargetMode="External"/><Relationship Id="rId38" Type="http://schemas.openxmlformats.org/officeDocument/2006/relationships/hyperlink" Target="http://dx.doi.org/10.25334/QRRW-N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Marsteller, Pat</dc:creator>
  <cp:keywords/>
  <dc:description/>
  <cp:lastModifiedBy>Marsteller, Pat</cp:lastModifiedBy>
  <cp:revision>3</cp:revision>
  <dcterms:created xsi:type="dcterms:W3CDTF">2022-06-24T17:14:00Z</dcterms:created>
  <dcterms:modified xsi:type="dcterms:W3CDTF">2022-06-24T17:28:00Z</dcterms:modified>
</cp:coreProperties>
</file>