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E7027" w14:textId="2513E986" w:rsidR="00D80E6E" w:rsidRPr="00B14505" w:rsidRDefault="00D80E6E" w:rsidP="00420586">
      <w:pPr>
        <w:spacing w:after="0" w:line="240" w:lineRule="auto"/>
        <w:rPr>
          <w:rFonts w:asciiTheme="majorHAnsi" w:hAnsiTheme="majorHAnsi"/>
        </w:rPr>
      </w:pPr>
    </w:p>
    <w:p w14:paraId="14AA122E" w14:textId="77777777" w:rsidR="00B14505" w:rsidRPr="00B14505" w:rsidRDefault="00B14505" w:rsidP="00420586">
      <w:pPr>
        <w:spacing w:after="0" w:line="240" w:lineRule="auto"/>
        <w:ind w:firstLine="720"/>
        <w:rPr>
          <w:rFonts w:asciiTheme="majorHAnsi" w:hAnsiTheme="majorHAnsi"/>
        </w:rPr>
      </w:pPr>
      <w:r w:rsidRPr="00B14505">
        <w:rPr>
          <w:rFonts w:asciiTheme="majorHAnsi" w:hAnsiTheme="majorHAnsi"/>
        </w:rPr>
        <w:t xml:space="preserve">The Green Revolution of the late 1950s marked the advancement of agriculture technology and the development of high-yield crops became a priority in agriculture. In tropical Asia, the Green Revolution helped farmers to solve the problem of the brown planthopper (BPH), an insect pest that devastates rice crops. Prior to the Green Revolution the population density of the brown planthopper was naturally regulated by a variety of native predators, including spiders and insects. Although the development of rice cultivars and GMOS, synthetic fertilizers, and synthetic pesticides advertised increased production, farmers are facing larger problems than ever before. In fact, the end result was that an initial strategy to increase rice yields and avert crop failure has had the exact opposite effect. </w:t>
      </w:r>
    </w:p>
    <w:p w14:paraId="461E54DA" w14:textId="77777777" w:rsidR="00B14505" w:rsidRPr="00B14505" w:rsidRDefault="00B14505" w:rsidP="00420586">
      <w:pPr>
        <w:spacing w:after="0" w:line="240" w:lineRule="auto"/>
        <w:rPr>
          <w:rFonts w:asciiTheme="majorHAnsi" w:hAnsiTheme="majorHAnsi"/>
        </w:rPr>
      </w:pPr>
    </w:p>
    <w:p w14:paraId="216F9D96" w14:textId="5A8BEB1D" w:rsidR="00D80E6E" w:rsidRPr="00B14505" w:rsidRDefault="00420586" w:rsidP="00420586">
      <w:pPr>
        <w:pBdr>
          <w:top w:val="nil"/>
          <w:left w:val="nil"/>
          <w:bottom w:val="nil"/>
          <w:right w:val="nil"/>
          <w:between w:val="nil"/>
        </w:pBdr>
        <w:spacing w:after="0" w:line="240" w:lineRule="auto"/>
        <w:ind w:firstLine="720"/>
        <w:rPr>
          <w:rFonts w:asciiTheme="majorHAnsi" w:hAnsiTheme="majorHAnsi"/>
        </w:rPr>
      </w:pPr>
      <w:r w:rsidRPr="00420586">
        <w:rPr>
          <w:rFonts w:asciiTheme="majorHAnsi" w:hAnsiTheme="majorHAnsi"/>
          <w:noProof/>
        </w:rPr>
        <mc:AlternateContent>
          <mc:Choice Requires="wps">
            <w:drawing>
              <wp:anchor distT="45720" distB="45720" distL="114300" distR="114300" simplePos="0" relativeHeight="251660288" behindDoc="0" locked="0" layoutInCell="1" allowOverlap="1" wp14:anchorId="37B224CC" wp14:editId="16FC2F84">
                <wp:simplePos x="0" y="0"/>
                <wp:positionH relativeFrom="column">
                  <wp:posOffset>2649855</wp:posOffset>
                </wp:positionH>
                <wp:positionV relativeFrom="paragraph">
                  <wp:posOffset>2339975</wp:posOffset>
                </wp:positionV>
                <wp:extent cx="387667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76250"/>
                        </a:xfrm>
                        <a:prstGeom prst="rect">
                          <a:avLst/>
                        </a:prstGeom>
                        <a:noFill/>
                        <a:ln w="9525">
                          <a:noFill/>
                          <a:miter lim="800000"/>
                          <a:headEnd/>
                          <a:tailEnd/>
                        </a:ln>
                      </wps:spPr>
                      <wps:txbx>
                        <w:txbxContent>
                          <w:p w14:paraId="6EC0AB8C" w14:textId="61425392" w:rsidR="00420586" w:rsidRPr="00CC4B1A" w:rsidRDefault="00420586" w:rsidP="00420586">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Figure 1:</w:t>
                            </w:r>
                            <w:r w:rsidRPr="00CC4B1A">
                              <w:rPr>
                                <w:rFonts w:asciiTheme="majorHAnsi" w:hAnsiTheme="majorHAnsi"/>
                                <w:sz w:val="20"/>
                              </w:rPr>
                              <w:t xml:space="preserve">  The selection of pesticide resistant individuals from a breeding population of insects.</w:t>
                            </w:r>
                          </w:p>
                          <w:p w14:paraId="55FE1A43" w14:textId="423408CC" w:rsidR="00420586" w:rsidRPr="00CC4B1A" w:rsidRDefault="0042058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B224CC" id="_x0000_t202" coordsize="21600,21600" o:spt="202" path="m,l,21600r21600,l21600,xe">
                <v:stroke joinstyle="miter"/>
                <v:path gradientshapeok="t" o:connecttype="rect"/>
              </v:shapetype>
              <v:shape id="Text Box 2" o:spid="_x0000_s1026" type="#_x0000_t202" style="position:absolute;left:0;text-align:left;margin-left:208.65pt;margin-top:184.25pt;width:30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" filled="f" stroked="f">
                <v:textbox>
                  <w:txbxContent>
                    <w:p w14:paraId="6EC0AB8C" w14:textId="61425392" w:rsidR="00420586" w:rsidRPr="00CC4B1A" w:rsidRDefault="00420586" w:rsidP="00420586">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Figure 1:</w:t>
                      </w:r>
                      <w:r w:rsidRPr="00CC4B1A">
                        <w:rPr>
                          <w:rFonts w:asciiTheme="majorHAnsi" w:hAnsiTheme="majorHAnsi"/>
                          <w:sz w:val="20"/>
                        </w:rPr>
                        <w:t xml:space="preserve">  The selection of pesticide resistant individuals from a breeding population of insects.</w:t>
                      </w:r>
                    </w:p>
                    <w:p w14:paraId="55FE1A43" w14:textId="423408CC" w:rsidR="00420586" w:rsidRPr="00CC4B1A" w:rsidRDefault="00420586">
                      <w:pPr>
                        <w:rPr>
                          <w:sz w:val="20"/>
                        </w:rPr>
                      </w:pPr>
                    </w:p>
                  </w:txbxContent>
                </v:textbox>
                <w10:wrap type="square"/>
              </v:shape>
            </w:pict>
          </mc:Fallback>
        </mc:AlternateContent>
      </w:r>
      <w:r w:rsidRPr="00B14505">
        <w:rPr>
          <w:rFonts w:asciiTheme="majorHAnsi" w:hAnsiTheme="majorHAnsi"/>
          <w:noProof/>
        </w:rPr>
        <w:drawing>
          <wp:anchor distT="0" distB="0" distL="114300" distR="114300" simplePos="0" relativeHeight="251658240" behindDoc="0" locked="0" layoutInCell="1" allowOverlap="1" wp14:anchorId="74CF30C5" wp14:editId="1928D860">
            <wp:simplePos x="0" y="0"/>
            <wp:positionH relativeFrom="column">
              <wp:posOffset>2669253</wp:posOffset>
            </wp:positionH>
            <wp:positionV relativeFrom="paragraph">
              <wp:posOffset>725170</wp:posOffset>
            </wp:positionV>
            <wp:extent cx="4048125" cy="1614944"/>
            <wp:effectExtent l="0" t="0" r="0" b="4445"/>
            <wp:wrapSquare wrapText="bothSides"/>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7">
                      <a:extLst>
                        <a:ext uri="{28A0092B-C50C-407E-A947-70E740481C1C}">
                          <a14:useLocalDpi xmlns:a14="http://schemas.microsoft.com/office/drawing/2010/main" val="0"/>
                        </a:ext>
                      </a:extLst>
                    </a:blip>
                    <a:srcRect b="17021"/>
                    <a:stretch/>
                  </pic:blipFill>
                  <pic:spPr bwMode="auto">
                    <a:xfrm>
                      <a:off x="0" y="0"/>
                      <a:ext cx="4048125" cy="16149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D20" w:rsidRPr="00B14505">
        <w:rPr>
          <w:rFonts w:asciiTheme="majorHAnsi" w:hAnsiTheme="majorHAnsi"/>
        </w:rPr>
        <w:t xml:space="preserve">Pesticide resistance is one of the most important concerns when protecting crops from herbivorous insects such as the </w:t>
      </w:r>
      <w:r w:rsidR="00091725">
        <w:rPr>
          <w:rFonts w:asciiTheme="majorHAnsi" w:hAnsiTheme="majorHAnsi"/>
        </w:rPr>
        <w:t>BPH</w:t>
      </w:r>
      <w:r w:rsidR="00572D20" w:rsidRPr="00B14505">
        <w:rPr>
          <w:rFonts w:asciiTheme="majorHAnsi" w:hAnsiTheme="majorHAnsi"/>
        </w:rPr>
        <w:t>.  It estimated that 40% of crops in a field would be lost if pesticides become in</w:t>
      </w:r>
      <w:r w:rsidR="00091725">
        <w:rPr>
          <w:rFonts w:asciiTheme="majorHAnsi" w:hAnsiTheme="majorHAnsi"/>
        </w:rPr>
        <w:t>ef</w:t>
      </w:r>
      <w:r w:rsidR="00572D20" w:rsidRPr="00B14505">
        <w:rPr>
          <w:rFonts w:asciiTheme="majorHAnsi" w:hAnsiTheme="majorHAnsi"/>
        </w:rPr>
        <w:t xml:space="preserve">fective. Resistance to pesticides, or any type of chemical substance, is best defined as a change in the sensitivity of a population to </w:t>
      </w:r>
      <w:r w:rsidR="00CC4B1A">
        <w:rPr>
          <w:rFonts w:asciiTheme="majorHAnsi" w:hAnsiTheme="majorHAnsi"/>
        </w:rPr>
        <w:t xml:space="preserve">a </w:t>
      </w:r>
      <w:r w:rsidR="00572D20" w:rsidRPr="00B14505">
        <w:rPr>
          <w:rFonts w:asciiTheme="majorHAnsi" w:hAnsiTheme="majorHAnsi"/>
        </w:rPr>
        <w:t>particular chemical.  Note that resistance is not caused when an individual organism adapts to a particular chemical</w:t>
      </w:r>
      <w:r w:rsidR="00091725">
        <w:rPr>
          <w:rFonts w:asciiTheme="majorHAnsi" w:hAnsiTheme="majorHAnsi"/>
        </w:rPr>
        <w:t>, but</w:t>
      </w:r>
      <w:r w:rsidR="00572D20" w:rsidRPr="00B14505">
        <w:rPr>
          <w:rFonts w:asciiTheme="majorHAnsi" w:hAnsiTheme="majorHAnsi"/>
        </w:rPr>
        <w:t xml:space="preserve"> occurs when certain individuals in a population are not signifi</w:t>
      </w:r>
      <w:r w:rsidR="00091725">
        <w:rPr>
          <w:rFonts w:asciiTheme="majorHAnsi" w:hAnsiTheme="majorHAnsi"/>
        </w:rPr>
        <w:t xml:space="preserve">cantly harmed by the chemical. </w:t>
      </w:r>
      <w:r w:rsidR="00572D20" w:rsidRPr="00B14505">
        <w:rPr>
          <w:rFonts w:asciiTheme="majorHAnsi" w:hAnsiTheme="majorHAnsi"/>
        </w:rPr>
        <w:t>These resistant individuals tend to reproductively outnumb</w:t>
      </w:r>
      <w:r w:rsidR="00091725">
        <w:rPr>
          <w:rFonts w:asciiTheme="majorHAnsi" w:hAnsiTheme="majorHAnsi"/>
        </w:rPr>
        <w:t xml:space="preserve">er the susceptible population. </w:t>
      </w:r>
      <w:bookmarkStart w:id="0" w:name="_GoBack"/>
      <w:bookmarkEnd w:id="0"/>
      <w:r w:rsidR="00572D20" w:rsidRPr="00B14505">
        <w:rPr>
          <w:rFonts w:asciiTheme="majorHAnsi" w:hAnsiTheme="majorHAnsi"/>
        </w:rPr>
        <w:t xml:space="preserve">The ability to resist a particular chemical is due to mutations that impart some sort of protection from harm by the chemical. As shown in Figure 1, pesticide resistant individuals already exist in a population. Their prevalence is enhanced by applications of the pesticide. </w:t>
      </w:r>
    </w:p>
    <w:p w14:paraId="51FD3492" w14:textId="5922D42F" w:rsidR="00D80E6E" w:rsidRPr="00B14505" w:rsidRDefault="00D80E6E" w:rsidP="00420586">
      <w:pPr>
        <w:pBdr>
          <w:top w:val="nil"/>
          <w:left w:val="nil"/>
          <w:bottom w:val="nil"/>
          <w:right w:val="nil"/>
          <w:between w:val="nil"/>
        </w:pBdr>
        <w:spacing w:after="0" w:line="240" w:lineRule="auto"/>
        <w:rPr>
          <w:rFonts w:asciiTheme="majorHAnsi" w:hAnsiTheme="majorHAnsi"/>
        </w:rPr>
      </w:pPr>
    </w:p>
    <w:p w14:paraId="265EB5C3" w14:textId="475FB988" w:rsidR="009A111A" w:rsidRDefault="009A111A" w:rsidP="00CC4B1A">
      <w:pPr>
        <w:spacing w:after="0" w:line="240" w:lineRule="auto"/>
        <w:ind w:firstLine="720"/>
        <w:rPr>
          <w:rFonts w:asciiTheme="majorHAnsi" w:hAnsiTheme="majorHAnsi"/>
        </w:rPr>
      </w:pPr>
      <w:r w:rsidRPr="00420586">
        <w:rPr>
          <w:rFonts w:asciiTheme="majorHAnsi" w:hAnsiTheme="majorHAnsi"/>
          <w:noProof/>
        </w:rPr>
        <mc:AlternateContent>
          <mc:Choice Requires="wps">
            <w:drawing>
              <wp:anchor distT="45720" distB="45720" distL="114300" distR="114300" simplePos="0" relativeHeight="251663360" behindDoc="0" locked="0" layoutInCell="1" allowOverlap="1" wp14:anchorId="58FBE841" wp14:editId="2E3B5E0A">
                <wp:simplePos x="0" y="0"/>
                <wp:positionH relativeFrom="column">
                  <wp:posOffset>1905</wp:posOffset>
                </wp:positionH>
                <wp:positionV relativeFrom="paragraph">
                  <wp:posOffset>3274060</wp:posOffset>
                </wp:positionV>
                <wp:extent cx="6134100" cy="4762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76250"/>
                        </a:xfrm>
                        <a:prstGeom prst="rect">
                          <a:avLst/>
                        </a:prstGeom>
                        <a:noFill/>
                        <a:ln w="9525">
                          <a:noFill/>
                          <a:miter lim="800000"/>
                          <a:headEnd/>
                          <a:tailEnd/>
                        </a:ln>
                      </wps:spPr>
                      <wps:txbx>
                        <w:txbxContent>
                          <w:p w14:paraId="57B4A6D0" w14:textId="4AE45EF0" w:rsidR="009A111A" w:rsidRPr="00CC4B1A" w:rsidRDefault="009A111A" w:rsidP="009A111A">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 xml:space="preserve">Figure 2:  </w:t>
                            </w:r>
                            <w:r w:rsidRPr="00CC4B1A">
                              <w:rPr>
                                <w:rFonts w:asciiTheme="majorHAnsi" w:hAnsiTheme="majorHAnsi"/>
                                <w:sz w:val="20"/>
                              </w:rPr>
                              <w:t>The figures show the response of the total insect population, as well as the adults and larvae, when the population is (a) untreated, or (b) treated with a single insecticide application on day 50.</w:t>
                            </w:r>
                          </w:p>
                          <w:p w14:paraId="4A6D9D7A" w14:textId="77777777" w:rsidR="009A111A" w:rsidRPr="00CC4B1A" w:rsidRDefault="009A111A" w:rsidP="009A111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FBE841" id="_x0000_s1027" type="#_x0000_t202" style="position:absolute;left:0;text-align:left;margin-left:.15pt;margin-top:257.8pt;width:483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" filled="f" stroked="f">
                <v:textbox>
                  <w:txbxContent>
                    <w:p w14:paraId="57B4A6D0" w14:textId="4AE45EF0" w:rsidR="009A111A" w:rsidRPr="00CC4B1A" w:rsidRDefault="009A111A" w:rsidP="009A111A">
                      <w:pPr>
                        <w:pBdr>
                          <w:top w:val="nil"/>
                          <w:left w:val="nil"/>
                          <w:bottom w:val="nil"/>
                          <w:right w:val="nil"/>
                          <w:between w:val="nil"/>
                        </w:pBdr>
                        <w:spacing w:after="0" w:line="240" w:lineRule="auto"/>
                        <w:rPr>
                          <w:rFonts w:asciiTheme="majorHAnsi" w:hAnsiTheme="majorHAnsi"/>
                          <w:sz w:val="20"/>
                        </w:rPr>
                      </w:pPr>
                      <w:r w:rsidRPr="00CC4B1A">
                        <w:rPr>
                          <w:rFonts w:asciiTheme="majorHAnsi" w:hAnsiTheme="majorHAnsi"/>
                          <w:b/>
                          <w:sz w:val="20"/>
                        </w:rPr>
                        <w:t xml:space="preserve">Figure 2:  </w:t>
                      </w:r>
                      <w:r w:rsidRPr="00CC4B1A">
                        <w:rPr>
                          <w:rFonts w:asciiTheme="majorHAnsi" w:hAnsiTheme="majorHAnsi"/>
                          <w:sz w:val="20"/>
                        </w:rPr>
                        <w:t>The figures show the response of the total insect population, as well as the adults and larvae, when the population is (a) untreated, or (b) treated with a single insecticide application on day 50.</w:t>
                      </w:r>
                    </w:p>
                    <w:p w14:paraId="4A6D9D7A" w14:textId="77777777" w:rsidR="009A111A" w:rsidRPr="00CC4B1A" w:rsidRDefault="009A111A" w:rsidP="009A111A">
                      <w:pPr>
                        <w:rPr>
                          <w:sz w:val="20"/>
                        </w:rPr>
                      </w:pPr>
                    </w:p>
                  </w:txbxContent>
                </v:textbox>
                <w10:wrap type="square"/>
              </v:shape>
            </w:pict>
          </mc:Fallback>
        </mc:AlternateContent>
      </w:r>
      <w:r w:rsidRPr="00B14505">
        <w:rPr>
          <w:rFonts w:asciiTheme="majorHAnsi" w:hAnsiTheme="majorHAnsi"/>
          <w:noProof/>
        </w:rPr>
        <w:drawing>
          <wp:anchor distT="0" distB="0" distL="114300" distR="114300" simplePos="0" relativeHeight="251661312" behindDoc="0" locked="0" layoutInCell="1" allowOverlap="1" wp14:anchorId="101D9C86" wp14:editId="6ECAD24E">
            <wp:simplePos x="0" y="0"/>
            <wp:positionH relativeFrom="column">
              <wp:posOffset>192405</wp:posOffset>
            </wp:positionH>
            <wp:positionV relativeFrom="paragraph">
              <wp:posOffset>598805</wp:posOffset>
            </wp:positionV>
            <wp:extent cx="5689600" cy="2676525"/>
            <wp:effectExtent l="0" t="0" r="6350" b="9525"/>
            <wp:wrapTopAndBottom/>
            <wp:docPr id="3" name="image6.jpg" descr="https://ars.els-cdn.com/content/image/1-s2.0-S0022519317302783-gr3.jpg"/>
            <wp:cNvGraphicFramePr/>
            <a:graphic xmlns:a="http://schemas.openxmlformats.org/drawingml/2006/main">
              <a:graphicData uri="http://schemas.openxmlformats.org/drawingml/2006/picture">
                <pic:pic xmlns:pic="http://schemas.openxmlformats.org/drawingml/2006/picture">
                  <pic:nvPicPr>
                    <pic:cNvPr id="0" name="image6.jpg" descr="https://ars.els-cdn.com/content/image/1-s2.0-S0022519317302783-gr3.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689600" cy="2676525"/>
                    </a:xfrm>
                    <a:prstGeom prst="rect">
                      <a:avLst/>
                    </a:prstGeom>
                    <a:ln/>
                  </pic:spPr>
                </pic:pic>
              </a:graphicData>
            </a:graphic>
            <wp14:sizeRelH relativeFrom="page">
              <wp14:pctWidth>0</wp14:pctWidth>
            </wp14:sizeRelH>
            <wp14:sizeRelV relativeFrom="page">
              <wp14:pctHeight>0</wp14:pctHeight>
            </wp14:sizeRelV>
          </wp:anchor>
        </w:drawing>
      </w:r>
      <w:r>
        <w:rPr>
          <w:rFonts w:asciiTheme="majorHAnsi" w:hAnsiTheme="majorHAnsi"/>
        </w:rPr>
        <w:t>There are currently 29 insecticides that BPH populations are immune to in rice agriculture fields. Manufacturers are constantly in battle with BPH to create novel pesticides that will impact BPH before they build resistance to it. Figure 2 shows how this resistance builds over time.</w:t>
      </w:r>
    </w:p>
    <w:p w14:paraId="105771BB" w14:textId="2F100744" w:rsidR="00D80E6E" w:rsidRPr="00B14505" w:rsidRDefault="00572D20" w:rsidP="00420586">
      <w:pPr>
        <w:spacing w:after="0" w:line="240" w:lineRule="auto"/>
        <w:rPr>
          <w:rFonts w:asciiTheme="majorHAnsi" w:hAnsiTheme="majorHAnsi"/>
        </w:rPr>
      </w:pPr>
      <w:r w:rsidRPr="00B14505">
        <w:rPr>
          <w:rFonts w:asciiTheme="majorHAnsi" w:eastAsia="Arial" w:hAnsiTheme="majorHAnsi" w:cs="Arial"/>
          <w:b/>
          <w:color w:val="000000"/>
          <w:u w:val="single"/>
        </w:rPr>
        <w:lastRenderedPageBreak/>
        <w:t>General Discussion Questions</w:t>
      </w:r>
    </w:p>
    <w:p w14:paraId="05B2DF84" w14:textId="6A17A18A" w:rsidR="00D80E6E" w:rsidRPr="00B14505" w:rsidRDefault="00D80E6E" w:rsidP="00420586">
      <w:pPr>
        <w:spacing w:after="0" w:line="240" w:lineRule="auto"/>
        <w:rPr>
          <w:rFonts w:asciiTheme="majorHAnsi" w:hAnsiTheme="majorHAnsi"/>
        </w:rPr>
      </w:pPr>
    </w:p>
    <w:p w14:paraId="63151793" w14:textId="7D8068C1" w:rsidR="00D80E6E" w:rsidRPr="009A111A" w:rsidRDefault="00572D20" w:rsidP="009A111A">
      <w:pPr>
        <w:pStyle w:val="ListParagraph"/>
        <w:numPr>
          <w:ilvl w:val="0"/>
          <w:numId w:val="4"/>
        </w:numPr>
        <w:spacing w:after="0" w:line="240" w:lineRule="auto"/>
        <w:rPr>
          <w:rFonts w:asciiTheme="majorHAnsi" w:hAnsiTheme="majorHAnsi"/>
        </w:rPr>
      </w:pPr>
      <w:r w:rsidRPr="009A111A">
        <w:rPr>
          <w:rFonts w:asciiTheme="majorHAnsi" w:hAnsiTheme="majorHAnsi"/>
        </w:rPr>
        <w:t>Why is it important that agricultural researchers are able to measure the rate at which a population of insects becomes predominantly pesticide resistant?</w:t>
      </w:r>
    </w:p>
    <w:p w14:paraId="3B365E09" w14:textId="785FB237" w:rsidR="00D80E6E" w:rsidRDefault="00D80E6E" w:rsidP="00420586">
      <w:pPr>
        <w:spacing w:after="0" w:line="240" w:lineRule="auto"/>
        <w:rPr>
          <w:rFonts w:asciiTheme="majorHAnsi" w:hAnsiTheme="majorHAnsi"/>
        </w:rPr>
      </w:pPr>
    </w:p>
    <w:p w14:paraId="0A44E963" w14:textId="77777777" w:rsidR="009A111A" w:rsidRPr="00B14505" w:rsidRDefault="009A111A" w:rsidP="00420586">
      <w:pPr>
        <w:spacing w:after="0" w:line="240" w:lineRule="auto"/>
        <w:rPr>
          <w:rFonts w:asciiTheme="majorHAnsi" w:hAnsiTheme="majorHAnsi"/>
        </w:rPr>
      </w:pPr>
    </w:p>
    <w:p w14:paraId="4C322C3E" w14:textId="7AD2CBDD" w:rsidR="00D80E6E" w:rsidRDefault="00D80E6E" w:rsidP="00420586">
      <w:pPr>
        <w:spacing w:after="0" w:line="240" w:lineRule="auto"/>
        <w:rPr>
          <w:rFonts w:asciiTheme="majorHAnsi" w:hAnsiTheme="majorHAnsi"/>
        </w:rPr>
      </w:pPr>
    </w:p>
    <w:p w14:paraId="03E3E13D" w14:textId="77777777" w:rsidR="008921CC" w:rsidRDefault="008921CC" w:rsidP="00420586">
      <w:pPr>
        <w:spacing w:after="0" w:line="240" w:lineRule="auto"/>
        <w:rPr>
          <w:rFonts w:asciiTheme="majorHAnsi" w:hAnsiTheme="majorHAnsi"/>
        </w:rPr>
      </w:pPr>
    </w:p>
    <w:p w14:paraId="07447FB1" w14:textId="69E35D39" w:rsidR="009A111A" w:rsidRDefault="009A111A" w:rsidP="00420586">
      <w:pPr>
        <w:spacing w:after="0" w:line="240" w:lineRule="auto"/>
        <w:rPr>
          <w:rFonts w:asciiTheme="majorHAnsi" w:hAnsiTheme="majorHAnsi"/>
        </w:rPr>
      </w:pPr>
    </w:p>
    <w:p w14:paraId="527C4F30" w14:textId="77777777" w:rsidR="009A111A" w:rsidRPr="00B14505" w:rsidRDefault="009A111A" w:rsidP="00420586">
      <w:pPr>
        <w:spacing w:after="0" w:line="240" w:lineRule="auto"/>
        <w:rPr>
          <w:rFonts w:asciiTheme="majorHAnsi" w:hAnsiTheme="majorHAnsi"/>
        </w:rPr>
      </w:pPr>
    </w:p>
    <w:p w14:paraId="5C56A2F6" w14:textId="77777777" w:rsidR="00D80E6E" w:rsidRPr="00B14505" w:rsidRDefault="00D80E6E" w:rsidP="00420586">
      <w:pPr>
        <w:pBdr>
          <w:top w:val="nil"/>
          <w:left w:val="nil"/>
          <w:bottom w:val="nil"/>
          <w:right w:val="nil"/>
          <w:between w:val="nil"/>
        </w:pBdr>
        <w:spacing w:after="0" w:line="240" w:lineRule="auto"/>
        <w:rPr>
          <w:rFonts w:asciiTheme="majorHAnsi" w:hAnsiTheme="majorHAnsi"/>
        </w:rPr>
      </w:pPr>
    </w:p>
    <w:p w14:paraId="02B6993A" w14:textId="19F54E41" w:rsidR="00D80E6E" w:rsidRPr="009A111A" w:rsidRDefault="00572D20" w:rsidP="009A111A">
      <w:pPr>
        <w:pStyle w:val="ListParagraph"/>
        <w:numPr>
          <w:ilvl w:val="0"/>
          <w:numId w:val="4"/>
        </w:numPr>
        <w:pBdr>
          <w:top w:val="nil"/>
          <w:left w:val="nil"/>
          <w:bottom w:val="nil"/>
          <w:right w:val="nil"/>
          <w:between w:val="nil"/>
        </w:pBdr>
        <w:spacing w:after="0" w:line="240" w:lineRule="auto"/>
        <w:rPr>
          <w:rFonts w:asciiTheme="majorHAnsi" w:hAnsiTheme="majorHAnsi"/>
        </w:rPr>
      </w:pPr>
      <w:r w:rsidRPr="009A111A">
        <w:rPr>
          <w:rFonts w:asciiTheme="majorHAnsi" w:hAnsiTheme="majorHAnsi"/>
        </w:rPr>
        <w:t xml:space="preserve">Explain the effect of the pesticide treatment during day 50 on the insect population in </w:t>
      </w:r>
      <w:r w:rsidR="00CC4B1A">
        <w:rPr>
          <w:rFonts w:asciiTheme="majorHAnsi" w:hAnsiTheme="majorHAnsi"/>
        </w:rPr>
        <w:t>Figure 2, g</w:t>
      </w:r>
      <w:r w:rsidRPr="009A111A">
        <w:rPr>
          <w:rFonts w:asciiTheme="majorHAnsi" w:hAnsiTheme="majorHAnsi"/>
        </w:rPr>
        <w:t xml:space="preserve">raph b. What evidence of pesticide </w:t>
      </w:r>
      <w:r w:rsidR="009A111A">
        <w:rPr>
          <w:rFonts w:asciiTheme="majorHAnsi" w:hAnsiTheme="majorHAnsi"/>
        </w:rPr>
        <w:t>resistance is shown in graph b in comparison to graph a?</w:t>
      </w:r>
    </w:p>
    <w:p w14:paraId="32210217" w14:textId="10BA22C1" w:rsidR="00D80E6E" w:rsidRDefault="00D80E6E" w:rsidP="00420586">
      <w:pPr>
        <w:pBdr>
          <w:top w:val="nil"/>
          <w:left w:val="nil"/>
          <w:bottom w:val="nil"/>
          <w:right w:val="nil"/>
          <w:between w:val="nil"/>
        </w:pBdr>
        <w:spacing w:after="0" w:line="240" w:lineRule="auto"/>
        <w:rPr>
          <w:rFonts w:asciiTheme="majorHAnsi" w:hAnsiTheme="majorHAnsi"/>
        </w:rPr>
      </w:pPr>
    </w:p>
    <w:p w14:paraId="4FD40AE6" w14:textId="14B2E9A8" w:rsidR="009A111A" w:rsidRDefault="009A111A" w:rsidP="00420586">
      <w:pPr>
        <w:pBdr>
          <w:top w:val="nil"/>
          <w:left w:val="nil"/>
          <w:bottom w:val="nil"/>
          <w:right w:val="nil"/>
          <w:between w:val="nil"/>
        </w:pBdr>
        <w:spacing w:after="0" w:line="240" w:lineRule="auto"/>
        <w:rPr>
          <w:rFonts w:asciiTheme="majorHAnsi" w:hAnsiTheme="majorHAnsi"/>
        </w:rPr>
      </w:pPr>
    </w:p>
    <w:p w14:paraId="2EBA8C2D" w14:textId="45A07263" w:rsidR="009A111A" w:rsidRDefault="009A111A" w:rsidP="00420586">
      <w:pPr>
        <w:pBdr>
          <w:top w:val="nil"/>
          <w:left w:val="nil"/>
          <w:bottom w:val="nil"/>
          <w:right w:val="nil"/>
          <w:between w:val="nil"/>
        </w:pBdr>
        <w:spacing w:after="0" w:line="240" w:lineRule="auto"/>
        <w:rPr>
          <w:rFonts w:asciiTheme="majorHAnsi" w:hAnsiTheme="majorHAnsi"/>
        </w:rPr>
      </w:pPr>
    </w:p>
    <w:p w14:paraId="37512A37" w14:textId="05F6CB78" w:rsidR="009A111A" w:rsidRDefault="009A111A" w:rsidP="00420586">
      <w:pPr>
        <w:pBdr>
          <w:top w:val="nil"/>
          <w:left w:val="nil"/>
          <w:bottom w:val="nil"/>
          <w:right w:val="nil"/>
          <w:between w:val="nil"/>
        </w:pBdr>
        <w:spacing w:after="0" w:line="240" w:lineRule="auto"/>
        <w:rPr>
          <w:rFonts w:asciiTheme="majorHAnsi" w:hAnsiTheme="majorHAnsi"/>
        </w:rPr>
      </w:pPr>
    </w:p>
    <w:p w14:paraId="67E864B4" w14:textId="58448FB1" w:rsidR="009A111A" w:rsidRDefault="009A111A" w:rsidP="00420586">
      <w:pPr>
        <w:pBdr>
          <w:top w:val="nil"/>
          <w:left w:val="nil"/>
          <w:bottom w:val="nil"/>
          <w:right w:val="nil"/>
          <w:between w:val="nil"/>
        </w:pBdr>
        <w:spacing w:after="0" w:line="240" w:lineRule="auto"/>
        <w:rPr>
          <w:rFonts w:asciiTheme="majorHAnsi" w:hAnsiTheme="majorHAnsi"/>
        </w:rPr>
      </w:pPr>
    </w:p>
    <w:p w14:paraId="59494B6C" w14:textId="6BDF4B11" w:rsidR="008921CC" w:rsidRDefault="008921CC" w:rsidP="00420586">
      <w:pPr>
        <w:pBdr>
          <w:top w:val="nil"/>
          <w:left w:val="nil"/>
          <w:bottom w:val="nil"/>
          <w:right w:val="nil"/>
          <w:between w:val="nil"/>
        </w:pBdr>
        <w:spacing w:after="0" w:line="240" w:lineRule="auto"/>
        <w:rPr>
          <w:rFonts w:asciiTheme="majorHAnsi" w:hAnsiTheme="majorHAnsi"/>
        </w:rPr>
      </w:pPr>
    </w:p>
    <w:p w14:paraId="704FCD66" w14:textId="77777777" w:rsidR="008921CC" w:rsidRDefault="008921CC" w:rsidP="00420586">
      <w:pPr>
        <w:pBdr>
          <w:top w:val="nil"/>
          <w:left w:val="nil"/>
          <w:bottom w:val="nil"/>
          <w:right w:val="nil"/>
          <w:between w:val="nil"/>
        </w:pBdr>
        <w:spacing w:after="0" w:line="240" w:lineRule="auto"/>
        <w:rPr>
          <w:rFonts w:asciiTheme="majorHAnsi" w:hAnsiTheme="majorHAnsi"/>
        </w:rPr>
      </w:pPr>
    </w:p>
    <w:p w14:paraId="417D7BAC" w14:textId="77777777" w:rsidR="009A111A" w:rsidRPr="00B14505" w:rsidRDefault="009A111A" w:rsidP="00420586">
      <w:pPr>
        <w:pBdr>
          <w:top w:val="nil"/>
          <w:left w:val="nil"/>
          <w:bottom w:val="nil"/>
          <w:right w:val="nil"/>
          <w:between w:val="nil"/>
        </w:pBdr>
        <w:spacing w:after="0" w:line="240" w:lineRule="auto"/>
        <w:rPr>
          <w:rFonts w:asciiTheme="majorHAnsi" w:hAnsiTheme="majorHAnsi"/>
        </w:rPr>
      </w:pPr>
    </w:p>
    <w:p w14:paraId="3759F2CB" w14:textId="5E92DFDD" w:rsidR="00D80E6E" w:rsidRPr="009A111A" w:rsidRDefault="00572D20" w:rsidP="009A111A">
      <w:pPr>
        <w:pStyle w:val="ListParagraph"/>
        <w:numPr>
          <w:ilvl w:val="0"/>
          <w:numId w:val="4"/>
        </w:numPr>
        <w:pBdr>
          <w:top w:val="nil"/>
          <w:left w:val="nil"/>
          <w:bottom w:val="nil"/>
          <w:right w:val="nil"/>
          <w:between w:val="nil"/>
        </w:pBdr>
        <w:spacing w:after="0" w:line="240" w:lineRule="auto"/>
        <w:rPr>
          <w:rFonts w:asciiTheme="majorHAnsi" w:hAnsiTheme="majorHAnsi"/>
        </w:rPr>
      </w:pPr>
      <w:r w:rsidRPr="009A111A">
        <w:rPr>
          <w:rFonts w:asciiTheme="majorHAnsi" w:hAnsiTheme="majorHAnsi"/>
        </w:rPr>
        <w:t xml:space="preserve">Predict what would expect to happen to the insect population density in </w:t>
      </w:r>
      <w:r w:rsidR="00CC4B1A">
        <w:rPr>
          <w:rFonts w:asciiTheme="majorHAnsi" w:hAnsiTheme="majorHAnsi"/>
        </w:rPr>
        <w:t xml:space="preserve">Figure 2, </w:t>
      </w:r>
      <w:r w:rsidRPr="009A111A">
        <w:rPr>
          <w:rFonts w:asciiTheme="majorHAnsi" w:hAnsiTheme="majorHAnsi"/>
        </w:rPr>
        <w:t xml:space="preserve">graph b if the same pesticide was applied at 150 days. </w:t>
      </w:r>
    </w:p>
    <w:p w14:paraId="09A39D23" w14:textId="596C2A60"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25A28EAD" w14:textId="6848489B"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38164045" w14:textId="48AC685D"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192C94B3" w14:textId="4087B692"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3173C3E6" w14:textId="412F259F"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48C32126" w14:textId="77777777"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70FCF903" w14:textId="77777777"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649E2B7C" w14:textId="6CEF254F" w:rsidR="009A111A" w:rsidRPr="0086573B" w:rsidRDefault="009A111A" w:rsidP="009A111A">
      <w:pPr>
        <w:pStyle w:val="ListParagraph"/>
        <w:numPr>
          <w:ilvl w:val="0"/>
          <w:numId w:val="4"/>
        </w:numPr>
        <w:spacing w:after="0" w:line="240" w:lineRule="auto"/>
      </w:pPr>
      <w:r w:rsidRPr="0086573B">
        <w:t xml:space="preserve">Identify any words, topics, acronyms, etc. that you did not know or understand from the introduction. In addition, use the space below to write </w:t>
      </w:r>
      <w:r w:rsidRPr="009A111A">
        <w:rPr>
          <w:b/>
        </w:rPr>
        <w:t>one</w:t>
      </w:r>
      <w:r w:rsidRPr="0086573B">
        <w:t xml:space="preserve"> question that relates to the information presented.</w:t>
      </w:r>
    </w:p>
    <w:p w14:paraId="1B0F4B06" w14:textId="77777777"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7A8CE677" w14:textId="734D97EB"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02CA0C22" w14:textId="1C402E46"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655D0C79" w14:textId="3DB474F2" w:rsidR="008921CC" w:rsidRDefault="008921CC" w:rsidP="00420586">
      <w:pPr>
        <w:pBdr>
          <w:top w:val="nil"/>
          <w:left w:val="nil"/>
          <w:bottom w:val="nil"/>
          <w:right w:val="nil"/>
          <w:between w:val="nil"/>
        </w:pBdr>
        <w:spacing w:after="0" w:line="240" w:lineRule="auto"/>
        <w:rPr>
          <w:rFonts w:asciiTheme="majorHAnsi" w:hAnsiTheme="majorHAnsi"/>
          <w:b/>
          <w:color w:val="1E1C11"/>
          <w:u w:val="single"/>
        </w:rPr>
      </w:pPr>
    </w:p>
    <w:p w14:paraId="0438ABB7" w14:textId="33E9EC0A"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30111087" w14:textId="19B3DD2B"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24387119" w14:textId="77777777" w:rsidR="009A111A" w:rsidRDefault="009A111A" w:rsidP="00420586">
      <w:pPr>
        <w:pBdr>
          <w:top w:val="nil"/>
          <w:left w:val="nil"/>
          <w:bottom w:val="nil"/>
          <w:right w:val="nil"/>
          <w:between w:val="nil"/>
        </w:pBdr>
        <w:spacing w:after="0" w:line="240" w:lineRule="auto"/>
        <w:rPr>
          <w:rFonts w:asciiTheme="majorHAnsi" w:hAnsiTheme="majorHAnsi"/>
          <w:b/>
          <w:color w:val="1E1C11"/>
          <w:u w:val="single"/>
        </w:rPr>
      </w:pPr>
    </w:p>
    <w:p w14:paraId="50E334B7" w14:textId="77764F50" w:rsidR="00D80E6E" w:rsidRPr="008921CC" w:rsidRDefault="009A111A" w:rsidP="00420586">
      <w:pPr>
        <w:pBdr>
          <w:top w:val="nil"/>
          <w:left w:val="nil"/>
          <w:bottom w:val="nil"/>
          <w:right w:val="nil"/>
          <w:between w:val="nil"/>
        </w:pBdr>
        <w:spacing w:after="0" w:line="240" w:lineRule="auto"/>
        <w:rPr>
          <w:rFonts w:asciiTheme="majorHAnsi" w:hAnsiTheme="majorHAnsi"/>
          <w:b/>
          <w:color w:val="1E1C11"/>
          <w:sz w:val="20"/>
          <w:u w:val="single"/>
        </w:rPr>
      </w:pPr>
      <w:r w:rsidRPr="008921CC">
        <w:rPr>
          <w:rFonts w:asciiTheme="majorHAnsi" w:hAnsiTheme="majorHAnsi"/>
          <w:b/>
          <w:color w:val="1E1C11"/>
          <w:sz w:val="20"/>
          <w:u w:val="single"/>
        </w:rPr>
        <w:t>References</w:t>
      </w:r>
    </w:p>
    <w:p w14:paraId="5E945020" w14:textId="77777777" w:rsidR="008921CC" w:rsidRPr="008921CC" w:rsidRDefault="008921CC" w:rsidP="008921CC">
      <w:pPr>
        <w:pBdr>
          <w:top w:val="nil"/>
          <w:left w:val="nil"/>
          <w:bottom w:val="nil"/>
          <w:right w:val="nil"/>
          <w:between w:val="nil"/>
        </w:pBdr>
        <w:spacing w:after="0" w:line="240" w:lineRule="auto"/>
        <w:ind w:left="720" w:hanging="720"/>
        <w:rPr>
          <w:sz w:val="20"/>
        </w:rPr>
      </w:pPr>
      <w:r w:rsidRPr="008921CC">
        <w:rPr>
          <w:sz w:val="20"/>
        </w:rPr>
        <w:t xml:space="preserve">Goodell, P. B, Godfrey, L. D, Grafton-Cardwell, E. E, Toscano, N., &amp; Wright, S. D. (2001). </w:t>
      </w:r>
      <w:r w:rsidRPr="008921CC">
        <w:rPr>
          <w:rStyle w:val="Emphasis"/>
          <w:sz w:val="20"/>
        </w:rPr>
        <w:t>Insecticide and Miticide Resistance Management in San Joaquin Valley Cotton for 2001</w:t>
      </w:r>
      <w:r w:rsidRPr="008921CC">
        <w:rPr>
          <w:sz w:val="20"/>
        </w:rPr>
        <w:t>.</w:t>
      </w:r>
    </w:p>
    <w:p w14:paraId="376A4140" w14:textId="0BE0EFAB" w:rsidR="00D80E6E" w:rsidRPr="008921CC" w:rsidRDefault="00572D20" w:rsidP="009A111A">
      <w:pPr>
        <w:pBdr>
          <w:top w:val="nil"/>
          <w:left w:val="nil"/>
          <w:bottom w:val="nil"/>
          <w:right w:val="nil"/>
          <w:between w:val="nil"/>
        </w:pBdr>
        <w:spacing w:after="0" w:line="240" w:lineRule="auto"/>
        <w:ind w:left="720" w:hanging="720"/>
        <w:rPr>
          <w:rFonts w:asciiTheme="majorHAnsi" w:hAnsiTheme="majorHAnsi"/>
          <w:color w:val="1E1C11"/>
          <w:sz w:val="20"/>
        </w:rPr>
      </w:pPr>
      <w:r w:rsidRPr="008921CC">
        <w:rPr>
          <w:rFonts w:asciiTheme="majorHAnsi" w:hAnsiTheme="majorHAnsi"/>
          <w:color w:val="1E1C11"/>
          <w:sz w:val="20"/>
        </w:rPr>
        <w:t>Helps,</w:t>
      </w:r>
      <w:r w:rsidR="009A111A" w:rsidRPr="008921CC">
        <w:rPr>
          <w:rFonts w:asciiTheme="majorHAnsi" w:hAnsiTheme="majorHAnsi"/>
          <w:color w:val="1E1C11"/>
          <w:sz w:val="20"/>
        </w:rPr>
        <w:t xml:space="preserve"> J., </w:t>
      </w:r>
      <w:proofErr w:type="spellStart"/>
      <w:r w:rsidRPr="008921CC">
        <w:rPr>
          <w:rFonts w:asciiTheme="majorHAnsi" w:hAnsiTheme="majorHAnsi"/>
          <w:color w:val="1E1C11"/>
          <w:sz w:val="20"/>
        </w:rPr>
        <w:t>Paveley</w:t>
      </w:r>
      <w:proofErr w:type="spellEnd"/>
      <w:r w:rsidR="009A111A" w:rsidRPr="008921CC">
        <w:rPr>
          <w:rFonts w:asciiTheme="majorHAnsi" w:hAnsiTheme="majorHAnsi"/>
          <w:color w:val="1E1C11"/>
          <w:sz w:val="20"/>
        </w:rPr>
        <w:t>, N.</w:t>
      </w:r>
      <w:r w:rsidRPr="008921CC">
        <w:rPr>
          <w:rFonts w:asciiTheme="majorHAnsi" w:hAnsiTheme="majorHAnsi"/>
          <w:color w:val="1E1C11"/>
          <w:sz w:val="20"/>
        </w:rPr>
        <w:t xml:space="preserve">, </w:t>
      </w:r>
      <w:r w:rsidR="009A111A" w:rsidRPr="008921CC">
        <w:rPr>
          <w:rFonts w:asciiTheme="majorHAnsi" w:hAnsiTheme="majorHAnsi"/>
          <w:color w:val="1E1C11"/>
          <w:sz w:val="20"/>
        </w:rPr>
        <w:t>&amp; van den Bosch, F. (2017).</w:t>
      </w:r>
      <w:r w:rsidR="008B31AD" w:rsidRPr="008921CC">
        <w:rPr>
          <w:rFonts w:asciiTheme="majorHAnsi" w:hAnsiTheme="majorHAnsi"/>
          <w:color w:val="1E1C11"/>
          <w:sz w:val="20"/>
        </w:rPr>
        <w:t xml:space="preserve"> Identifying Circumstances under which High Insecticide Dose Increases or Decreases Resistance S</w:t>
      </w:r>
      <w:r w:rsidRPr="008921CC">
        <w:rPr>
          <w:rFonts w:asciiTheme="majorHAnsi" w:hAnsiTheme="majorHAnsi"/>
          <w:color w:val="1E1C11"/>
          <w:sz w:val="20"/>
        </w:rPr>
        <w:t xml:space="preserve">election. </w:t>
      </w:r>
      <w:r w:rsidRPr="008921CC">
        <w:rPr>
          <w:rFonts w:asciiTheme="majorHAnsi" w:hAnsiTheme="majorHAnsi"/>
          <w:i/>
          <w:color w:val="1E1C11"/>
          <w:sz w:val="20"/>
        </w:rPr>
        <w:t>Journa</w:t>
      </w:r>
      <w:r w:rsidR="009A111A" w:rsidRPr="008921CC">
        <w:rPr>
          <w:rFonts w:asciiTheme="majorHAnsi" w:hAnsiTheme="majorHAnsi"/>
          <w:i/>
          <w:color w:val="1E1C11"/>
          <w:sz w:val="20"/>
        </w:rPr>
        <w:t>l of Theoretical Biology,</w:t>
      </w:r>
      <w:r w:rsidRPr="008921CC">
        <w:rPr>
          <w:rFonts w:asciiTheme="majorHAnsi" w:hAnsiTheme="majorHAnsi"/>
          <w:i/>
          <w:color w:val="1E1C11"/>
          <w:sz w:val="20"/>
        </w:rPr>
        <w:t xml:space="preserve"> 428</w:t>
      </w:r>
      <w:r w:rsidR="009A111A" w:rsidRPr="008921CC">
        <w:rPr>
          <w:rFonts w:asciiTheme="majorHAnsi" w:hAnsiTheme="majorHAnsi"/>
          <w:color w:val="1E1C11"/>
          <w:sz w:val="20"/>
        </w:rPr>
        <w:t>(7), 1</w:t>
      </w:r>
      <w:r w:rsidRPr="008921CC">
        <w:rPr>
          <w:rFonts w:asciiTheme="majorHAnsi" w:hAnsiTheme="majorHAnsi"/>
          <w:color w:val="1E1C11"/>
          <w:sz w:val="20"/>
        </w:rPr>
        <w:t>53-167</w:t>
      </w:r>
      <w:r w:rsidR="009A111A" w:rsidRPr="008921CC">
        <w:rPr>
          <w:rFonts w:asciiTheme="majorHAnsi" w:hAnsiTheme="majorHAnsi"/>
          <w:color w:val="1E1C11"/>
          <w:sz w:val="20"/>
        </w:rPr>
        <w:t>.</w:t>
      </w:r>
    </w:p>
    <w:p w14:paraId="0255F5E4" w14:textId="5D78719B" w:rsidR="00D80E6E" w:rsidRPr="008921CC" w:rsidRDefault="00572D20" w:rsidP="009A111A">
      <w:pPr>
        <w:pBdr>
          <w:top w:val="nil"/>
          <w:left w:val="nil"/>
          <w:bottom w:val="nil"/>
          <w:right w:val="nil"/>
          <w:between w:val="nil"/>
        </w:pBdr>
        <w:spacing w:after="0" w:line="240" w:lineRule="auto"/>
        <w:ind w:left="720" w:hanging="720"/>
        <w:rPr>
          <w:rFonts w:asciiTheme="majorHAnsi" w:hAnsiTheme="majorHAnsi"/>
          <w:color w:val="1E1C11"/>
          <w:sz w:val="20"/>
        </w:rPr>
      </w:pPr>
      <w:r w:rsidRPr="008921CC">
        <w:rPr>
          <w:rFonts w:asciiTheme="majorHAnsi" w:hAnsiTheme="majorHAnsi"/>
          <w:color w:val="1E1C11"/>
          <w:sz w:val="20"/>
        </w:rPr>
        <w:t>Roush</w:t>
      </w:r>
      <w:r w:rsidR="009A111A" w:rsidRPr="008921CC">
        <w:rPr>
          <w:rFonts w:asciiTheme="majorHAnsi" w:hAnsiTheme="majorHAnsi"/>
          <w:color w:val="1E1C11"/>
          <w:sz w:val="20"/>
        </w:rPr>
        <w:t>, R. &amp;</w:t>
      </w:r>
      <w:r w:rsidRPr="008921CC">
        <w:rPr>
          <w:rFonts w:asciiTheme="majorHAnsi" w:hAnsiTheme="majorHAnsi"/>
          <w:color w:val="1E1C11"/>
          <w:sz w:val="20"/>
        </w:rPr>
        <w:t xml:space="preserve"> Miller</w:t>
      </w:r>
      <w:r w:rsidR="009A111A" w:rsidRPr="008921CC">
        <w:rPr>
          <w:rFonts w:asciiTheme="majorHAnsi" w:hAnsiTheme="majorHAnsi"/>
          <w:color w:val="1E1C11"/>
          <w:sz w:val="20"/>
        </w:rPr>
        <w:t>, G.</w:t>
      </w:r>
      <w:r w:rsidR="008B31AD" w:rsidRPr="008921CC">
        <w:rPr>
          <w:rFonts w:asciiTheme="majorHAnsi" w:hAnsiTheme="majorHAnsi"/>
          <w:color w:val="1E1C11"/>
          <w:sz w:val="20"/>
        </w:rPr>
        <w:t xml:space="preserve"> (</w:t>
      </w:r>
      <w:r w:rsidRPr="008921CC">
        <w:rPr>
          <w:rFonts w:asciiTheme="majorHAnsi" w:hAnsiTheme="majorHAnsi"/>
          <w:color w:val="1E1C11"/>
          <w:sz w:val="20"/>
        </w:rPr>
        <w:t>1986</w:t>
      </w:r>
      <w:r w:rsidR="008B31AD" w:rsidRPr="008921CC">
        <w:rPr>
          <w:rFonts w:asciiTheme="majorHAnsi" w:hAnsiTheme="majorHAnsi"/>
          <w:color w:val="1E1C11"/>
          <w:sz w:val="20"/>
        </w:rPr>
        <w:t>)</w:t>
      </w:r>
      <w:r w:rsidRPr="008921CC">
        <w:rPr>
          <w:rFonts w:asciiTheme="majorHAnsi" w:hAnsiTheme="majorHAnsi"/>
          <w:color w:val="1E1C11"/>
          <w:sz w:val="20"/>
        </w:rPr>
        <w:t xml:space="preserve">. Considerations for Design of Insecticide Resistance Monitoring Programs. </w:t>
      </w:r>
      <w:r w:rsidRPr="008921CC">
        <w:rPr>
          <w:rFonts w:asciiTheme="majorHAnsi" w:hAnsiTheme="majorHAnsi"/>
          <w:i/>
          <w:color w:val="1E1C11"/>
          <w:sz w:val="20"/>
        </w:rPr>
        <w:t>Journal of Economic Entomology, 79</w:t>
      </w:r>
      <w:r w:rsidRPr="008921CC">
        <w:rPr>
          <w:rFonts w:asciiTheme="majorHAnsi" w:hAnsiTheme="majorHAnsi"/>
          <w:color w:val="1E1C11"/>
          <w:sz w:val="20"/>
        </w:rPr>
        <w:t>(2)</w:t>
      </w:r>
      <w:r w:rsidR="008B31AD" w:rsidRPr="008921CC">
        <w:rPr>
          <w:rFonts w:asciiTheme="majorHAnsi" w:hAnsiTheme="majorHAnsi"/>
          <w:color w:val="1E1C11"/>
          <w:sz w:val="20"/>
        </w:rPr>
        <w:t xml:space="preserve">, </w:t>
      </w:r>
      <w:r w:rsidRPr="008921CC">
        <w:rPr>
          <w:rFonts w:asciiTheme="majorHAnsi" w:hAnsiTheme="majorHAnsi"/>
          <w:color w:val="1E1C11"/>
          <w:sz w:val="20"/>
        </w:rPr>
        <w:t>293–298</w:t>
      </w:r>
      <w:r w:rsidR="008B31AD" w:rsidRPr="008921CC">
        <w:rPr>
          <w:rFonts w:asciiTheme="majorHAnsi" w:hAnsiTheme="majorHAnsi"/>
          <w:color w:val="1E1C11"/>
          <w:sz w:val="20"/>
        </w:rPr>
        <w:t>.</w:t>
      </w:r>
    </w:p>
    <w:p w14:paraId="36C6E3CD" w14:textId="4A4505C3" w:rsidR="00D80E6E" w:rsidRPr="008921CC" w:rsidRDefault="00572D20" w:rsidP="009A111A">
      <w:pPr>
        <w:pBdr>
          <w:top w:val="nil"/>
          <w:left w:val="nil"/>
          <w:bottom w:val="nil"/>
          <w:right w:val="nil"/>
          <w:between w:val="nil"/>
        </w:pBdr>
        <w:spacing w:after="0" w:line="240" w:lineRule="auto"/>
        <w:ind w:left="720" w:hanging="720"/>
        <w:rPr>
          <w:rFonts w:asciiTheme="majorHAnsi" w:hAnsiTheme="majorHAnsi"/>
          <w:color w:val="1E1C11"/>
          <w:sz w:val="20"/>
        </w:rPr>
      </w:pPr>
      <w:r w:rsidRPr="008921CC">
        <w:rPr>
          <w:rFonts w:asciiTheme="majorHAnsi" w:hAnsiTheme="majorHAnsi"/>
          <w:color w:val="1E1C11"/>
          <w:sz w:val="20"/>
        </w:rPr>
        <w:t>Win</w:t>
      </w:r>
      <w:r w:rsidR="008B31AD" w:rsidRPr="008921CC">
        <w:rPr>
          <w:rFonts w:asciiTheme="majorHAnsi" w:hAnsiTheme="majorHAnsi"/>
          <w:color w:val="1E1C11"/>
          <w:sz w:val="20"/>
        </w:rPr>
        <w:t>, S.</w:t>
      </w:r>
      <w:r w:rsidRPr="008921CC">
        <w:rPr>
          <w:rFonts w:asciiTheme="majorHAnsi" w:hAnsiTheme="majorHAnsi"/>
          <w:color w:val="1E1C11"/>
          <w:sz w:val="20"/>
        </w:rPr>
        <w:t>, Muhamad</w:t>
      </w:r>
      <w:r w:rsidR="008B31AD" w:rsidRPr="008921CC">
        <w:rPr>
          <w:rFonts w:asciiTheme="majorHAnsi" w:hAnsiTheme="majorHAnsi"/>
          <w:color w:val="1E1C11"/>
          <w:sz w:val="20"/>
        </w:rPr>
        <w:t xml:space="preserve">, R., </w:t>
      </w:r>
      <w:r w:rsidRPr="008921CC">
        <w:rPr>
          <w:rFonts w:asciiTheme="majorHAnsi" w:hAnsiTheme="majorHAnsi"/>
          <w:color w:val="1E1C11"/>
          <w:sz w:val="20"/>
        </w:rPr>
        <w:t>Ahmad,</w:t>
      </w:r>
      <w:r w:rsidR="008B31AD" w:rsidRPr="008921CC">
        <w:rPr>
          <w:rFonts w:asciiTheme="majorHAnsi" w:hAnsiTheme="majorHAnsi"/>
          <w:color w:val="1E1C11"/>
          <w:sz w:val="20"/>
        </w:rPr>
        <w:t xml:space="preserve"> Z., &amp; </w:t>
      </w:r>
      <w:r w:rsidRPr="008921CC">
        <w:rPr>
          <w:rFonts w:asciiTheme="majorHAnsi" w:hAnsiTheme="majorHAnsi"/>
          <w:color w:val="1E1C11"/>
          <w:sz w:val="20"/>
        </w:rPr>
        <w:t>Adam</w:t>
      </w:r>
      <w:r w:rsidR="008B31AD" w:rsidRPr="008921CC">
        <w:rPr>
          <w:rFonts w:asciiTheme="majorHAnsi" w:hAnsiTheme="majorHAnsi"/>
          <w:color w:val="1E1C11"/>
          <w:sz w:val="20"/>
        </w:rPr>
        <w:t>, N. (2</w:t>
      </w:r>
      <w:r w:rsidRPr="008921CC">
        <w:rPr>
          <w:rFonts w:asciiTheme="majorHAnsi" w:hAnsiTheme="majorHAnsi"/>
          <w:color w:val="1E1C11"/>
          <w:sz w:val="20"/>
        </w:rPr>
        <w:t>011</w:t>
      </w:r>
      <w:r w:rsidR="008B31AD" w:rsidRPr="008921CC">
        <w:rPr>
          <w:rFonts w:asciiTheme="majorHAnsi" w:hAnsiTheme="majorHAnsi"/>
          <w:color w:val="1E1C11"/>
          <w:sz w:val="20"/>
        </w:rPr>
        <w:t>)</w:t>
      </w:r>
      <w:r w:rsidRPr="008921CC">
        <w:rPr>
          <w:rFonts w:asciiTheme="majorHAnsi" w:hAnsiTheme="majorHAnsi"/>
          <w:color w:val="1E1C11"/>
          <w:sz w:val="20"/>
        </w:rPr>
        <w:t xml:space="preserve">. Life Table and Population Parameters of </w:t>
      </w:r>
      <w:proofErr w:type="spellStart"/>
      <w:r w:rsidRPr="008921CC">
        <w:rPr>
          <w:rFonts w:asciiTheme="majorHAnsi" w:hAnsiTheme="majorHAnsi"/>
          <w:i/>
          <w:color w:val="1E1C11"/>
          <w:sz w:val="20"/>
        </w:rPr>
        <w:t>Nilaparvata</w:t>
      </w:r>
      <w:proofErr w:type="spellEnd"/>
      <w:r w:rsidRPr="008921CC">
        <w:rPr>
          <w:rFonts w:asciiTheme="majorHAnsi" w:hAnsiTheme="majorHAnsi"/>
          <w:i/>
          <w:color w:val="1E1C11"/>
          <w:sz w:val="20"/>
        </w:rPr>
        <w:t xml:space="preserve"> </w:t>
      </w:r>
      <w:proofErr w:type="spellStart"/>
      <w:r w:rsidRPr="008921CC">
        <w:rPr>
          <w:rFonts w:asciiTheme="majorHAnsi" w:hAnsiTheme="majorHAnsi"/>
          <w:i/>
          <w:color w:val="1E1C11"/>
          <w:sz w:val="20"/>
        </w:rPr>
        <w:t>lugens</w:t>
      </w:r>
      <w:proofErr w:type="spellEnd"/>
      <w:r w:rsidRPr="008921CC">
        <w:rPr>
          <w:rFonts w:asciiTheme="majorHAnsi" w:hAnsiTheme="majorHAnsi"/>
          <w:i/>
          <w:color w:val="1E1C11"/>
          <w:sz w:val="20"/>
        </w:rPr>
        <w:t xml:space="preserve"> </w:t>
      </w:r>
      <w:proofErr w:type="spellStart"/>
      <w:r w:rsidRPr="008921CC">
        <w:rPr>
          <w:rFonts w:asciiTheme="majorHAnsi" w:hAnsiTheme="majorHAnsi"/>
          <w:i/>
          <w:color w:val="1E1C11"/>
          <w:sz w:val="20"/>
        </w:rPr>
        <w:t>Stal</w:t>
      </w:r>
      <w:proofErr w:type="spellEnd"/>
      <w:r w:rsidRPr="008921CC">
        <w:rPr>
          <w:rFonts w:asciiTheme="majorHAnsi" w:hAnsiTheme="majorHAnsi"/>
          <w:i/>
          <w:color w:val="1E1C11"/>
          <w:sz w:val="20"/>
        </w:rPr>
        <w:t xml:space="preserve">. </w:t>
      </w:r>
      <w:r w:rsidRPr="008921CC">
        <w:rPr>
          <w:rFonts w:asciiTheme="majorHAnsi" w:hAnsiTheme="majorHAnsi"/>
          <w:color w:val="1E1C11"/>
          <w:sz w:val="20"/>
        </w:rPr>
        <w:t>(</w:t>
      </w:r>
      <w:proofErr w:type="spellStart"/>
      <w:r w:rsidRPr="008921CC">
        <w:rPr>
          <w:rFonts w:asciiTheme="majorHAnsi" w:hAnsiTheme="majorHAnsi"/>
          <w:color w:val="1E1C11"/>
          <w:sz w:val="20"/>
        </w:rPr>
        <w:t>Homoptera</w:t>
      </w:r>
      <w:proofErr w:type="spellEnd"/>
      <w:r w:rsidRPr="008921CC">
        <w:rPr>
          <w:rFonts w:asciiTheme="majorHAnsi" w:hAnsiTheme="majorHAnsi"/>
          <w:color w:val="1E1C11"/>
          <w:sz w:val="20"/>
        </w:rPr>
        <w:t xml:space="preserve">: </w:t>
      </w:r>
      <w:proofErr w:type="spellStart"/>
      <w:r w:rsidRPr="008921CC">
        <w:rPr>
          <w:rFonts w:asciiTheme="majorHAnsi" w:hAnsiTheme="majorHAnsi"/>
          <w:color w:val="1E1C11"/>
          <w:sz w:val="20"/>
        </w:rPr>
        <w:t>Delphacidae</w:t>
      </w:r>
      <w:proofErr w:type="spellEnd"/>
      <w:r w:rsidRPr="008921CC">
        <w:rPr>
          <w:rFonts w:asciiTheme="majorHAnsi" w:hAnsiTheme="majorHAnsi"/>
          <w:color w:val="1E1C11"/>
          <w:sz w:val="20"/>
        </w:rPr>
        <w:t xml:space="preserve">) on Rice. </w:t>
      </w:r>
      <w:r w:rsidR="008921CC" w:rsidRPr="008921CC">
        <w:rPr>
          <w:rFonts w:asciiTheme="majorHAnsi" w:hAnsiTheme="majorHAnsi"/>
          <w:i/>
          <w:color w:val="1E1C11"/>
          <w:sz w:val="20"/>
        </w:rPr>
        <w:t>Tropical Life Sciences Research, 22</w:t>
      </w:r>
      <w:r w:rsidR="008921CC" w:rsidRPr="008921CC">
        <w:rPr>
          <w:rFonts w:asciiTheme="majorHAnsi" w:hAnsiTheme="majorHAnsi"/>
          <w:color w:val="1E1C11"/>
          <w:sz w:val="20"/>
        </w:rPr>
        <w:t>(</w:t>
      </w:r>
      <w:r w:rsidRPr="008921CC">
        <w:rPr>
          <w:rFonts w:asciiTheme="majorHAnsi" w:hAnsiTheme="majorHAnsi"/>
          <w:color w:val="1E1C11"/>
          <w:sz w:val="20"/>
        </w:rPr>
        <w:t>1)</w:t>
      </w:r>
      <w:r w:rsidR="008921CC" w:rsidRPr="008921CC">
        <w:rPr>
          <w:rFonts w:asciiTheme="majorHAnsi" w:hAnsiTheme="majorHAnsi"/>
          <w:color w:val="1E1C11"/>
          <w:sz w:val="20"/>
        </w:rPr>
        <w:t xml:space="preserve">, </w:t>
      </w:r>
      <w:r w:rsidRPr="008921CC">
        <w:rPr>
          <w:rFonts w:asciiTheme="majorHAnsi" w:hAnsiTheme="majorHAnsi"/>
          <w:color w:val="1E1C11"/>
          <w:sz w:val="20"/>
        </w:rPr>
        <w:t>25–35</w:t>
      </w:r>
      <w:r w:rsidR="008921CC" w:rsidRPr="008921CC">
        <w:rPr>
          <w:rFonts w:asciiTheme="majorHAnsi" w:hAnsiTheme="majorHAnsi"/>
          <w:color w:val="1E1C11"/>
          <w:sz w:val="20"/>
        </w:rPr>
        <w:t>.</w:t>
      </w:r>
    </w:p>
    <w:p w14:paraId="24895F90" w14:textId="5F643176" w:rsidR="00D80E6E" w:rsidRPr="008921CC" w:rsidRDefault="008921CC" w:rsidP="008921CC">
      <w:pPr>
        <w:pBdr>
          <w:top w:val="nil"/>
          <w:left w:val="nil"/>
          <w:bottom w:val="nil"/>
          <w:right w:val="nil"/>
          <w:between w:val="nil"/>
        </w:pBdr>
        <w:spacing w:after="0" w:line="240" w:lineRule="auto"/>
        <w:ind w:left="720" w:hanging="720"/>
        <w:rPr>
          <w:sz w:val="20"/>
        </w:rPr>
      </w:pPr>
      <w:r w:rsidRPr="008921CC">
        <w:rPr>
          <w:rFonts w:asciiTheme="majorHAnsi" w:hAnsiTheme="majorHAnsi"/>
          <w:sz w:val="20"/>
        </w:rPr>
        <w:t xml:space="preserve">Wu, S., Zeng, B., Zheng, C., Mu, Z., Zhang, Y., Hu, J., Zhang, S., Gao, C., &amp; Shen, J. (2018). The evolution of insecticide resistance in the brown </w:t>
      </w:r>
      <w:proofErr w:type="spellStart"/>
      <w:r w:rsidRPr="008921CC">
        <w:rPr>
          <w:rFonts w:asciiTheme="majorHAnsi" w:hAnsiTheme="majorHAnsi"/>
          <w:sz w:val="20"/>
        </w:rPr>
        <w:t>planthopper</w:t>
      </w:r>
      <w:proofErr w:type="spellEnd"/>
      <w:r w:rsidRPr="008921CC">
        <w:rPr>
          <w:rFonts w:asciiTheme="majorHAnsi" w:hAnsiTheme="majorHAnsi"/>
          <w:sz w:val="20"/>
        </w:rPr>
        <w:t xml:space="preserve"> (</w:t>
      </w:r>
      <w:proofErr w:type="spellStart"/>
      <w:r w:rsidRPr="008921CC">
        <w:rPr>
          <w:rFonts w:asciiTheme="majorHAnsi" w:hAnsiTheme="majorHAnsi"/>
          <w:sz w:val="20"/>
        </w:rPr>
        <w:t>Nilaparvata</w:t>
      </w:r>
      <w:proofErr w:type="spellEnd"/>
      <w:r w:rsidRPr="008921CC">
        <w:rPr>
          <w:rFonts w:asciiTheme="majorHAnsi" w:hAnsiTheme="majorHAnsi"/>
          <w:sz w:val="20"/>
        </w:rPr>
        <w:t xml:space="preserve"> </w:t>
      </w:r>
      <w:proofErr w:type="spellStart"/>
      <w:r w:rsidRPr="008921CC">
        <w:rPr>
          <w:rFonts w:asciiTheme="majorHAnsi" w:hAnsiTheme="majorHAnsi"/>
          <w:sz w:val="20"/>
        </w:rPr>
        <w:t>lugens</w:t>
      </w:r>
      <w:proofErr w:type="spellEnd"/>
      <w:r w:rsidRPr="008921CC">
        <w:rPr>
          <w:rFonts w:asciiTheme="majorHAnsi" w:hAnsiTheme="majorHAnsi"/>
          <w:sz w:val="20"/>
        </w:rPr>
        <w:t xml:space="preserve"> </w:t>
      </w:r>
      <w:proofErr w:type="spellStart"/>
      <w:r w:rsidRPr="008921CC">
        <w:rPr>
          <w:rFonts w:asciiTheme="majorHAnsi" w:hAnsiTheme="majorHAnsi"/>
          <w:sz w:val="20"/>
        </w:rPr>
        <w:t>Stål</w:t>
      </w:r>
      <w:proofErr w:type="spellEnd"/>
      <w:r w:rsidRPr="008921CC">
        <w:rPr>
          <w:rFonts w:asciiTheme="majorHAnsi" w:hAnsiTheme="majorHAnsi"/>
          <w:sz w:val="20"/>
        </w:rPr>
        <w:t xml:space="preserve">) of China in the period 2012–2016.  </w:t>
      </w:r>
      <w:r w:rsidRPr="008921CC">
        <w:rPr>
          <w:i/>
          <w:iCs/>
          <w:sz w:val="20"/>
        </w:rPr>
        <w:t>Scientific Reports, (</w:t>
      </w:r>
      <w:r w:rsidRPr="008921CC">
        <w:rPr>
          <w:bCs/>
          <w:i/>
          <w:sz w:val="20"/>
        </w:rPr>
        <w:t>8)</w:t>
      </w:r>
      <w:r w:rsidRPr="008921CC">
        <w:rPr>
          <w:sz w:val="20"/>
        </w:rPr>
        <w:t>4586.</w:t>
      </w:r>
    </w:p>
    <w:sectPr w:rsidR="00D80E6E" w:rsidRPr="008921CC" w:rsidSect="00420586">
      <w:headerReference w:type="first" r:id="rId9"/>
      <w:pgSz w:w="12240" w:h="15840"/>
      <w:pgMar w:top="1152" w:right="1152" w:bottom="1152"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FD758" w14:textId="77777777" w:rsidR="00675803" w:rsidRDefault="00675803" w:rsidP="00B14505">
      <w:pPr>
        <w:spacing w:after="0" w:line="240" w:lineRule="auto"/>
      </w:pPr>
      <w:r>
        <w:separator/>
      </w:r>
    </w:p>
  </w:endnote>
  <w:endnote w:type="continuationSeparator" w:id="0">
    <w:p w14:paraId="1257BF6C" w14:textId="77777777" w:rsidR="00675803" w:rsidRDefault="00675803" w:rsidP="00B1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73962" w14:textId="77777777" w:rsidR="00675803" w:rsidRDefault="00675803" w:rsidP="00B14505">
      <w:pPr>
        <w:spacing w:after="0" w:line="240" w:lineRule="auto"/>
      </w:pPr>
      <w:r>
        <w:separator/>
      </w:r>
    </w:p>
  </w:footnote>
  <w:footnote w:type="continuationSeparator" w:id="0">
    <w:p w14:paraId="48760991" w14:textId="77777777" w:rsidR="00675803" w:rsidRDefault="00675803" w:rsidP="00B1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E087" w14:textId="4DE22A1C" w:rsidR="00B14505" w:rsidRPr="009C392C" w:rsidRDefault="00B14505" w:rsidP="00B14505">
    <w:pPr>
      <w:spacing w:after="0" w:line="240" w:lineRule="auto"/>
      <w:jc w:val="center"/>
      <w:rPr>
        <w:rFonts w:asciiTheme="majorHAnsi" w:hAnsiTheme="majorHAnsi"/>
        <w:b/>
        <w:u w:val="single"/>
      </w:rPr>
    </w:pPr>
    <w:r w:rsidRPr="009C392C">
      <w:rPr>
        <w:rFonts w:asciiTheme="majorHAnsi" w:hAnsiTheme="majorHAnsi"/>
        <w:b/>
        <w:u w:val="single"/>
      </w:rPr>
      <w:t>Expert Group #</w:t>
    </w:r>
    <w:r>
      <w:rPr>
        <w:rFonts w:asciiTheme="majorHAnsi" w:hAnsiTheme="majorHAnsi"/>
        <w:b/>
        <w:u w:val="single"/>
      </w:rPr>
      <w:t>3</w:t>
    </w:r>
    <w:r w:rsidRPr="009C392C">
      <w:rPr>
        <w:rFonts w:asciiTheme="majorHAnsi" w:hAnsiTheme="majorHAnsi"/>
        <w:b/>
        <w:u w:val="single"/>
      </w:rPr>
      <w:t xml:space="preserve"> </w:t>
    </w:r>
  </w:p>
  <w:p w14:paraId="1E8B7CBC" w14:textId="62C13A42" w:rsidR="00B14505" w:rsidRPr="00B14505" w:rsidRDefault="00B14505" w:rsidP="00B14505">
    <w:pPr>
      <w:spacing w:after="0" w:line="240" w:lineRule="auto"/>
      <w:jc w:val="center"/>
      <w:rPr>
        <w:rFonts w:asciiTheme="majorHAnsi" w:hAnsiTheme="majorHAnsi"/>
      </w:rPr>
    </w:pPr>
    <w:r w:rsidRPr="009C392C">
      <w:rPr>
        <w:rFonts w:asciiTheme="majorHAnsi" w:hAnsiTheme="majorHAnsi"/>
        <w:b/>
      </w:rPr>
      <w:t>A Case Study in Rice Ag</w:t>
    </w:r>
    <w:r>
      <w:rPr>
        <w:rFonts w:asciiTheme="majorHAnsi" w:hAnsiTheme="majorHAnsi"/>
        <w:b/>
      </w:rPr>
      <w:t>riculture: Pesticide Resistance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3C4E"/>
    <w:multiLevelType w:val="hybridMultilevel"/>
    <w:tmpl w:val="86AA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B6E1E"/>
    <w:multiLevelType w:val="hybridMultilevel"/>
    <w:tmpl w:val="AB962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70C80"/>
    <w:multiLevelType w:val="hybridMultilevel"/>
    <w:tmpl w:val="2F42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C4DB5"/>
    <w:multiLevelType w:val="multilevel"/>
    <w:tmpl w:val="AAC01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E11C54"/>
    <w:multiLevelType w:val="multilevel"/>
    <w:tmpl w:val="FE7A1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D27ED4"/>
    <w:multiLevelType w:val="multilevel"/>
    <w:tmpl w:val="D99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B7B08"/>
    <w:multiLevelType w:val="multilevel"/>
    <w:tmpl w:val="73DAD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6E"/>
    <w:rsid w:val="00091725"/>
    <w:rsid w:val="003F3375"/>
    <w:rsid w:val="00420586"/>
    <w:rsid w:val="00572D20"/>
    <w:rsid w:val="00675803"/>
    <w:rsid w:val="008921CC"/>
    <w:rsid w:val="008B31AD"/>
    <w:rsid w:val="009A111A"/>
    <w:rsid w:val="00B14505"/>
    <w:rsid w:val="00BE0DE9"/>
    <w:rsid w:val="00CC4B1A"/>
    <w:rsid w:val="00CE5153"/>
    <w:rsid w:val="00D8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A16E"/>
  <w15:docId w15:val="{E9EB96EF-B265-43C5-9D13-223499E2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2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D20"/>
    <w:rPr>
      <w:rFonts w:ascii="Segoe UI" w:hAnsi="Segoe UI" w:cs="Segoe UI"/>
      <w:sz w:val="18"/>
      <w:szCs w:val="18"/>
    </w:rPr>
  </w:style>
  <w:style w:type="paragraph" w:styleId="Header">
    <w:name w:val="header"/>
    <w:basedOn w:val="Normal"/>
    <w:link w:val="HeaderChar"/>
    <w:uiPriority w:val="99"/>
    <w:unhideWhenUsed/>
    <w:rsid w:val="00B14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5"/>
  </w:style>
  <w:style w:type="paragraph" w:styleId="Footer">
    <w:name w:val="footer"/>
    <w:basedOn w:val="Normal"/>
    <w:link w:val="FooterChar"/>
    <w:uiPriority w:val="99"/>
    <w:unhideWhenUsed/>
    <w:rsid w:val="00B14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5"/>
  </w:style>
  <w:style w:type="paragraph" w:styleId="ListParagraph">
    <w:name w:val="List Paragraph"/>
    <w:basedOn w:val="Normal"/>
    <w:uiPriority w:val="34"/>
    <w:qFormat/>
    <w:rsid w:val="009A111A"/>
    <w:pPr>
      <w:ind w:left="720"/>
      <w:contextualSpacing/>
    </w:pPr>
  </w:style>
  <w:style w:type="character" w:styleId="Emphasis">
    <w:name w:val="Emphasis"/>
    <w:basedOn w:val="DefaultParagraphFont"/>
    <w:uiPriority w:val="20"/>
    <w:qFormat/>
    <w:rsid w:val="008921CC"/>
    <w:rPr>
      <w:i/>
      <w:iCs/>
    </w:rPr>
  </w:style>
  <w:style w:type="character" w:styleId="Hyperlink">
    <w:name w:val="Hyperlink"/>
    <w:basedOn w:val="DefaultParagraphFont"/>
    <w:uiPriority w:val="99"/>
    <w:semiHidden/>
    <w:unhideWhenUsed/>
    <w:rsid w:val="008921CC"/>
    <w:rPr>
      <w:color w:val="0000FF"/>
      <w:u w:val="single"/>
    </w:rPr>
  </w:style>
  <w:style w:type="paragraph" w:customStyle="1" w:styleId="text14">
    <w:name w:val="text14"/>
    <w:basedOn w:val="Normal"/>
    <w:rsid w:val="00892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892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12264">
      <w:bodyDiv w:val="1"/>
      <w:marLeft w:val="0"/>
      <w:marRight w:val="0"/>
      <w:marTop w:val="0"/>
      <w:marBottom w:val="0"/>
      <w:divBdr>
        <w:top w:val="none" w:sz="0" w:space="0" w:color="auto"/>
        <w:left w:val="none" w:sz="0" w:space="0" w:color="auto"/>
        <w:bottom w:val="none" w:sz="0" w:space="0" w:color="auto"/>
        <w:right w:val="none" w:sz="0" w:space="0" w:color="auto"/>
      </w:divBdr>
      <w:divsChild>
        <w:div w:id="1319769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Newtoff, Kiersten N</dc:creator>
  <cp:lastModifiedBy>Emily Nodine</cp:lastModifiedBy>
  <cp:revision>2</cp:revision>
  <dcterms:created xsi:type="dcterms:W3CDTF">2018-11-01T02:50:00Z</dcterms:created>
  <dcterms:modified xsi:type="dcterms:W3CDTF">2018-11-01T02:50:00Z</dcterms:modified>
</cp:coreProperties>
</file>