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5E4ED" w14:textId="77777777" w:rsidR="00A207B5" w:rsidRPr="001E2C66" w:rsidRDefault="001E2C66" w:rsidP="001E2C66">
      <w:pPr>
        <w:pStyle w:val="Title"/>
      </w:pPr>
      <w:r w:rsidRPr="001E2C66">
        <w:t>Maintenance of Cell Shape</w:t>
      </w:r>
    </w:p>
    <w:p w14:paraId="08AC0AAE" w14:textId="77777777" w:rsidR="00A207B5" w:rsidRDefault="00A207B5" w:rsidP="00283F45">
      <w:pPr>
        <w:pStyle w:val="Heading1"/>
      </w:pPr>
      <w:r w:rsidRPr="00283F45">
        <w:t>Introduction</w:t>
      </w:r>
    </w:p>
    <w:p w14:paraId="4B2259A0" w14:textId="77777777" w:rsidR="008E6A8B" w:rsidRPr="008E6A8B" w:rsidRDefault="00AB6F05" w:rsidP="008E6A8B">
      <w:r w:rsidRPr="00AB6F05">
        <w:t>Fibrous elements of the cytoskeleton, including microtubules and filaments, help maintain cell shape. For example, amoeba movement involves interactions of myosin and actin in the microfilaments in the cell cytoskeleton. Myosin is normally dispersed throughout the cell, but locally assembles and disassembles as necessary to drive movement.</w:t>
      </w:r>
    </w:p>
    <w:p w14:paraId="7FD53F1A" w14:textId="77777777" w:rsidR="00283F45" w:rsidRDefault="00283F45" w:rsidP="00283F45">
      <w:pPr>
        <w:pStyle w:val="Heading1"/>
      </w:pPr>
      <w:r w:rsidRPr="00283F45">
        <w:t>Importance</w:t>
      </w:r>
    </w:p>
    <w:p w14:paraId="32E2C73A" w14:textId="77777777" w:rsidR="008E6A8B" w:rsidRPr="008E6A8B" w:rsidRDefault="00AB6F05" w:rsidP="008E6A8B">
      <w:r w:rsidRPr="00AB6F05">
        <w:t xml:space="preserve">The importance of myosin to cell translocation can be assessed by studying shape differences between normal amoeba cells which assemble and disassemble myosin and mutant cells which </w:t>
      </w:r>
      <w:proofErr w:type="spellStart"/>
      <w:r w:rsidRPr="00AB6F05">
        <w:t>overassemble</w:t>
      </w:r>
      <w:proofErr w:type="spellEnd"/>
      <w:r w:rsidRPr="00AB6F05">
        <w:t xml:space="preserve"> myosin.</w:t>
      </w:r>
    </w:p>
    <w:p w14:paraId="4101BC6F" w14:textId="77777777" w:rsidR="00283F45" w:rsidRDefault="00283F45" w:rsidP="00283F45">
      <w:pPr>
        <w:pStyle w:val="Heading1"/>
      </w:pPr>
      <w:r>
        <w:t>Questions</w:t>
      </w:r>
    </w:p>
    <w:p w14:paraId="7AA6C949" w14:textId="77777777" w:rsidR="008E6A8B" w:rsidRPr="008E6A8B" w:rsidRDefault="00AB6F05" w:rsidP="008E6A8B">
      <w:r w:rsidRPr="00AB6F05">
        <w:t>How does the assembly of myosin contribute to cell shape?</w:t>
      </w:r>
    </w:p>
    <w:p w14:paraId="6B84E2FD" w14:textId="77777777" w:rsidR="00283F45" w:rsidRDefault="00283F45" w:rsidP="00283F45">
      <w:pPr>
        <w:pStyle w:val="Heading1"/>
      </w:pPr>
      <w:r>
        <w:t>Methods</w:t>
      </w:r>
    </w:p>
    <w:p w14:paraId="6404EC49" w14:textId="77777777" w:rsidR="00AB6F05" w:rsidRDefault="00AB6F05" w:rsidP="00AB6F05">
      <w:pPr>
        <w:rPr>
          <w:lang w:eastAsia="zh-CN"/>
        </w:rPr>
      </w:pPr>
      <w:r w:rsidRPr="00AB6F05">
        <w:rPr>
          <w:lang w:eastAsia="zh-CN"/>
        </w:rPr>
        <w:t>One way to quantify cell shape is by measuring the roundness of cells. For cells with unusual shapes, it may be difficult to visually compare cell shape. Roundness can be quantified from two dimensional pictures of cells by comparing the area of a cell to its perimeter: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351F7" w14:paraId="4ADEC194" w14:textId="77777777" w:rsidTr="00AB0D29">
        <w:tc>
          <w:tcPr>
            <w:tcW w:w="4675" w:type="dxa"/>
            <w:vAlign w:val="center"/>
          </w:tcPr>
          <w:p w14:paraId="2BE98769" w14:textId="77777777" w:rsidR="00F351F7" w:rsidRDefault="00F351F7" w:rsidP="00AB0D29">
            <w:pPr>
              <w:rPr>
                <w:lang w:eastAsia="zh-CN"/>
              </w:rPr>
            </w:pPr>
            <m:oMathPara>
              <m:oMath>
                <m:r>
                  <w:rPr>
                    <w:rFonts w:ascii="Cambria Math" w:hAnsi="Cambria Math"/>
                    <w:lang w:eastAsia="zh-CN"/>
                  </w:rPr>
                  <m:t>roundness=</m:t>
                </m:r>
                <m:d>
                  <m:dPr>
                    <m:ctrlPr>
                      <w:rPr>
                        <w:rFonts w:ascii="Cambria Math" w:hAnsi="Cambria Math"/>
                        <w:i/>
                        <w:lang w:eastAsia="zh-CN"/>
                      </w:rPr>
                    </m:ctrlPr>
                  </m:dPr>
                  <m:e>
                    <m:r>
                      <w:rPr>
                        <w:rFonts w:ascii="Cambria Math" w:hAnsi="Cambria Math"/>
                        <w:lang w:eastAsia="zh-CN"/>
                      </w:rPr>
                      <m:t>4π</m:t>
                    </m:r>
                  </m:e>
                </m:d>
                <m:d>
                  <m:dPr>
                    <m:ctrlPr>
                      <w:rPr>
                        <w:rFonts w:ascii="Cambria Math" w:hAnsi="Cambria Math"/>
                        <w:i/>
                        <w:lang w:eastAsia="zh-CN"/>
                      </w:rPr>
                    </m:ctrlPr>
                  </m:dPr>
                  <m:e>
                    <m:f>
                      <m:fPr>
                        <m:ctrlPr>
                          <w:rPr>
                            <w:rFonts w:ascii="Cambria Math" w:hAnsi="Cambria Math"/>
                            <w:i/>
                            <w:lang w:eastAsia="zh-CN"/>
                          </w:rPr>
                        </m:ctrlPr>
                      </m:fPr>
                      <m:num>
                        <m:r>
                          <w:rPr>
                            <w:rFonts w:ascii="Cambria Math" w:hAnsi="Cambria Math"/>
                            <w:lang w:eastAsia="zh-CN"/>
                          </w:rPr>
                          <m:t>area</m:t>
                        </m:r>
                      </m:num>
                      <m:den>
                        <m:sSup>
                          <m:sSupPr>
                            <m:ctrlPr>
                              <w:rPr>
                                <w:rFonts w:ascii="Cambria Math" w:hAnsi="Cambria Math"/>
                                <w:i/>
                                <w:lang w:eastAsia="zh-CN"/>
                              </w:rPr>
                            </m:ctrlPr>
                          </m:sSupPr>
                          <m:e>
                            <m:r>
                              <w:rPr>
                                <w:rFonts w:ascii="Cambria Math" w:hAnsi="Cambria Math"/>
                                <w:lang w:eastAsia="zh-CN"/>
                              </w:rPr>
                              <m:t>perimeter</m:t>
                            </m:r>
                          </m:e>
                          <m:sup>
                            <m:r>
                              <w:rPr>
                                <w:rFonts w:ascii="Cambria Math" w:hAnsi="Cambria Math"/>
                                <w:lang w:eastAsia="zh-CN"/>
                              </w:rPr>
                              <m:t>2</m:t>
                            </m:r>
                          </m:sup>
                        </m:sSup>
                      </m:den>
                    </m:f>
                  </m:e>
                </m:d>
                <m:d>
                  <m:dPr>
                    <m:ctrlPr>
                      <w:rPr>
                        <w:rFonts w:ascii="Cambria Math" w:hAnsi="Cambria Math"/>
                        <w:i/>
                        <w:lang w:eastAsia="zh-CN"/>
                      </w:rPr>
                    </m:ctrlPr>
                  </m:dPr>
                  <m:e>
                    <m:r>
                      <w:rPr>
                        <w:rFonts w:ascii="Cambria Math" w:hAnsi="Cambria Math"/>
                        <w:lang w:eastAsia="zh-CN"/>
                      </w:rPr>
                      <m:t>100%</m:t>
                    </m:r>
                  </m:e>
                </m:d>
              </m:oMath>
            </m:oMathPara>
          </w:p>
        </w:tc>
        <w:tc>
          <w:tcPr>
            <w:tcW w:w="4675" w:type="dxa"/>
            <w:vAlign w:val="center"/>
          </w:tcPr>
          <w:p w14:paraId="38FC8749" w14:textId="77777777" w:rsidR="00F351F7" w:rsidRDefault="00F351F7" w:rsidP="00AB0D29">
            <w:pPr>
              <w:rPr>
                <w:lang w:eastAsia="zh-CN"/>
              </w:rPr>
            </w:pPr>
            <w:r>
              <w:rPr>
                <w:lang w:eastAsia="zh-CN"/>
              </w:rPr>
              <w:t xml:space="preserve">LaTeX Code: </w:t>
            </w:r>
            <w:proofErr w:type="gramStart"/>
            <w:r w:rsidRPr="00F351F7">
              <w:rPr>
                <w:lang w:eastAsia="zh-CN"/>
              </w:rPr>
              <w:t>\[</w:t>
            </w:r>
            <w:proofErr w:type="gramEnd"/>
            <w:r w:rsidRPr="00F351F7">
              <w:rPr>
                <w:lang w:eastAsia="zh-CN"/>
              </w:rPr>
              <w:t xml:space="preserve"> roundness = (4 \pi) \</w:t>
            </w:r>
            <w:proofErr w:type="spellStart"/>
            <w:r w:rsidRPr="00F351F7">
              <w:rPr>
                <w:lang w:eastAsia="zh-CN"/>
              </w:rPr>
              <w:t>Bigg</w:t>
            </w:r>
            <w:proofErr w:type="spellEnd"/>
            <w:r w:rsidRPr="00F351F7">
              <w:rPr>
                <w:lang w:eastAsia="zh-CN"/>
              </w:rPr>
              <w:t>( \frac{area}{perimeter^2} \</w:t>
            </w:r>
            <w:proofErr w:type="spellStart"/>
            <w:r w:rsidRPr="00F351F7">
              <w:rPr>
                <w:lang w:eastAsia="zh-CN"/>
              </w:rPr>
              <w:t>Bigg</w:t>
            </w:r>
            <w:proofErr w:type="spellEnd"/>
            <w:r w:rsidRPr="00F351F7">
              <w:rPr>
                <w:lang w:eastAsia="zh-CN"/>
              </w:rPr>
              <w:t>) (100\%) \]</w:t>
            </w:r>
          </w:p>
        </w:tc>
      </w:tr>
    </w:tbl>
    <w:p w14:paraId="5EB51E3C" w14:textId="77777777" w:rsidR="00AB6F05" w:rsidRPr="00AB6F05" w:rsidRDefault="00AB6F05" w:rsidP="00AB6F05">
      <w:pPr>
        <w:rPr>
          <w:lang w:eastAsia="zh-CN"/>
        </w:rPr>
      </w:pPr>
      <w:r w:rsidRPr="00AB6F05">
        <w:rPr>
          <w:lang w:eastAsia="zh-CN"/>
        </w:rPr>
        <w:t>For a perfect sphere, the area and perimeter for a two-dimensional picture of the cell are given by the usual formulas</w:t>
      </w:r>
      <w:r>
        <w:rPr>
          <w:lang w:eastAsia="zh-CN"/>
        </w:rPr>
        <w:t xml:space="preserve"> </w:t>
      </w:r>
      <w:r w:rsidRPr="00AB6F05">
        <w:rPr>
          <w:rFonts w:ascii="Symbol" w:hAnsi="Symbol"/>
          <w:lang w:eastAsia="zh-CN"/>
        </w:rPr>
        <w:t></w:t>
      </w:r>
      <w:r w:rsidRPr="00AB6F05">
        <w:rPr>
          <w:lang w:eastAsia="zh-CN"/>
        </w:rPr>
        <w:t>r</w:t>
      </w:r>
      <w:r w:rsidRPr="00AB6F05">
        <w:rPr>
          <w:vertAlign w:val="superscript"/>
          <w:lang w:eastAsia="zh-CN"/>
        </w:rPr>
        <w:t>2</w:t>
      </w:r>
      <w:r>
        <w:rPr>
          <w:lang w:eastAsia="zh-CN"/>
        </w:rPr>
        <w:t xml:space="preserve"> </w:t>
      </w:r>
      <w:r w:rsidRPr="00AB6F05">
        <w:rPr>
          <w:lang w:eastAsia="zh-CN"/>
        </w:rPr>
        <w:t>and 2</w:t>
      </w:r>
      <w:r w:rsidRPr="00AB6F05">
        <w:rPr>
          <w:rFonts w:ascii="Symbol" w:hAnsi="Symbol"/>
          <w:lang w:eastAsia="zh-CN"/>
        </w:rPr>
        <w:t></w:t>
      </w:r>
      <w:r w:rsidRPr="00AB6F05">
        <w:rPr>
          <w:lang w:eastAsia="zh-CN"/>
        </w:rPr>
        <w:t>r. Therefore, for a spherical cell, roundness equals 100%. A straight line, which has no area, would have a roundness of 0%.</w:t>
      </w:r>
    </w:p>
    <w:p w14:paraId="6555CAF9" w14:textId="77777777" w:rsidR="00AB6F05" w:rsidRPr="00AB6F05" w:rsidRDefault="00AB6F05" w:rsidP="00AB6F05">
      <w:pPr>
        <w:rPr>
          <w:lang w:eastAsia="zh-CN"/>
        </w:rPr>
      </w:pPr>
      <w:r w:rsidRPr="00AB6F05">
        <w:rPr>
          <w:lang w:eastAsia="zh-CN"/>
        </w:rPr>
        <w:t xml:space="preserve">We can quantify the roundness of normal and mutant cells to assess how the </w:t>
      </w:r>
      <w:proofErr w:type="spellStart"/>
      <w:r w:rsidRPr="00AB6F05">
        <w:rPr>
          <w:lang w:eastAsia="zh-CN"/>
        </w:rPr>
        <w:t>overassembly</w:t>
      </w:r>
      <w:proofErr w:type="spellEnd"/>
      <w:r w:rsidRPr="00AB6F05">
        <w:rPr>
          <w:lang w:eastAsia="zh-CN"/>
        </w:rPr>
        <w:t xml:space="preserve"> of myosin affects cell shape. Two dimensional pictures of normal and mutant cells can be </w:t>
      </w:r>
      <w:r w:rsidR="009E22EA" w:rsidRPr="00AB6F05">
        <w:rPr>
          <w:lang w:eastAsia="zh-CN"/>
        </w:rPr>
        <w:t>taken,</w:t>
      </w:r>
      <w:r w:rsidRPr="00AB6F05">
        <w:rPr>
          <w:lang w:eastAsia="zh-CN"/>
        </w:rPr>
        <w:t xml:space="preserve"> and the area and perimeter of cells measured.</w:t>
      </w:r>
    </w:p>
    <w:tbl>
      <w:tblPr>
        <w:tblW w:w="8460" w:type="dxa"/>
        <w:tblCellSpacing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0" w:type="dxa"/>
          <w:left w:w="140" w:type="dxa"/>
          <w:bottom w:w="140" w:type="dxa"/>
          <w:right w:w="140" w:type="dxa"/>
        </w:tblCellMar>
        <w:tblLook w:val="04A0" w:firstRow="1" w:lastRow="0" w:firstColumn="1" w:lastColumn="0" w:noHBand="0" w:noVBand="1"/>
      </w:tblPr>
      <w:tblGrid>
        <w:gridCol w:w="1770"/>
        <w:gridCol w:w="1082"/>
        <w:gridCol w:w="1166"/>
        <w:gridCol w:w="1084"/>
        <w:gridCol w:w="1167"/>
        <w:gridCol w:w="1167"/>
        <w:gridCol w:w="1024"/>
      </w:tblGrid>
      <w:tr w:rsidR="00AB6F05" w:rsidRPr="00AB6F05" w14:paraId="1C3B57F4" w14:textId="77777777" w:rsidTr="00274A9B">
        <w:trPr>
          <w:tblCellSpacing w:w="10" w:type="dxa"/>
        </w:trPr>
        <w:tc>
          <w:tcPr>
            <w:tcW w:w="700" w:type="pct"/>
            <w:vAlign w:val="center"/>
            <w:hideMark/>
          </w:tcPr>
          <w:p w14:paraId="275890DE" w14:textId="77777777" w:rsidR="00AB6F05" w:rsidRPr="00AB6F05" w:rsidRDefault="00AB6F05" w:rsidP="00274A9B">
            <w:pPr>
              <w:pStyle w:val="TableContent"/>
              <w:rPr>
                <w:lang w:eastAsia="zh-CN"/>
              </w:rPr>
            </w:pPr>
          </w:p>
        </w:tc>
        <w:tc>
          <w:tcPr>
            <w:tcW w:w="700" w:type="pct"/>
            <w:vAlign w:val="center"/>
            <w:hideMark/>
          </w:tcPr>
          <w:p w14:paraId="0BBA6965" w14:textId="77777777" w:rsidR="00AB6F05" w:rsidRPr="00AB6F05" w:rsidRDefault="00AB6F05" w:rsidP="00274A9B">
            <w:pPr>
              <w:pStyle w:val="TableContent"/>
              <w:rPr>
                <w:lang w:eastAsia="zh-CN"/>
              </w:rPr>
            </w:pPr>
            <w:r w:rsidRPr="00AB6F05">
              <w:rPr>
                <w:lang w:eastAsia="zh-CN"/>
              </w:rPr>
              <w:t>Normal 1</w:t>
            </w:r>
          </w:p>
        </w:tc>
        <w:tc>
          <w:tcPr>
            <w:tcW w:w="750" w:type="pct"/>
            <w:vAlign w:val="center"/>
            <w:hideMark/>
          </w:tcPr>
          <w:p w14:paraId="096A0BE1" w14:textId="77777777" w:rsidR="00AB6F05" w:rsidRPr="00AB6F05" w:rsidRDefault="00AB6F05" w:rsidP="00274A9B">
            <w:pPr>
              <w:pStyle w:val="TableContent"/>
              <w:rPr>
                <w:lang w:eastAsia="zh-CN"/>
              </w:rPr>
            </w:pPr>
            <w:r w:rsidRPr="00AB6F05">
              <w:rPr>
                <w:lang w:eastAsia="zh-CN"/>
              </w:rPr>
              <w:t>Normal 2</w:t>
            </w:r>
          </w:p>
        </w:tc>
        <w:tc>
          <w:tcPr>
            <w:tcW w:w="700" w:type="pct"/>
            <w:vAlign w:val="center"/>
            <w:hideMark/>
          </w:tcPr>
          <w:p w14:paraId="44567574" w14:textId="77777777" w:rsidR="00AB6F05" w:rsidRPr="00AB6F05" w:rsidRDefault="00AB6F05" w:rsidP="00274A9B">
            <w:pPr>
              <w:pStyle w:val="TableContent"/>
              <w:rPr>
                <w:lang w:eastAsia="zh-CN"/>
              </w:rPr>
            </w:pPr>
            <w:r w:rsidRPr="00AB6F05">
              <w:rPr>
                <w:lang w:eastAsia="zh-CN"/>
              </w:rPr>
              <w:t>Normal 3</w:t>
            </w:r>
          </w:p>
        </w:tc>
        <w:tc>
          <w:tcPr>
            <w:tcW w:w="750" w:type="pct"/>
            <w:vAlign w:val="center"/>
            <w:hideMark/>
          </w:tcPr>
          <w:p w14:paraId="43E4BE41" w14:textId="77777777" w:rsidR="00AB6F05" w:rsidRPr="00AB6F05" w:rsidRDefault="00AB6F05" w:rsidP="00274A9B">
            <w:pPr>
              <w:pStyle w:val="TableContent"/>
              <w:rPr>
                <w:lang w:eastAsia="zh-CN"/>
              </w:rPr>
            </w:pPr>
            <w:r w:rsidRPr="00AB6F05">
              <w:rPr>
                <w:lang w:eastAsia="zh-CN"/>
              </w:rPr>
              <w:t>Mutant 1</w:t>
            </w:r>
          </w:p>
        </w:tc>
        <w:tc>
          <w:tcPr>
            <w:tcW w:w="750" w:type="pct"/>
            <w:vAlign w:val="center"/>
            <w:hideMark/>
          </w:tcPr>
          <w:p w14:paraId="396398A8" w14:textId="77777777" w:rsidR="00AB6F05" w:rsidRPr="00AB6F05" w:rsidRDefault="00AB6F05" w:rsidP="00274A9B">
            <w:pPr>
              <w:pStyle w:val="TableContent"/>
              <w:rPr>
                <w:lang w:eastAsia="zh-CN"/>
              </w:rPr>
            </w:pPr>
            <w:r w:rsidRPr="00AB6F05">
              <w:rPr>
                <w:lang w:eastAsia="zh-CN"/>
              </w:rPr>
              <w:t>Mutant 2</w:t>
            </w:r>
          </w:p>
        </w:tc>
        <w:tc>
          <w:tcPr>
            <w:tcW w:w="700" w:type="pct"/>
            <w:vAlign w:val="center"/>
            <w:hideMark/>
          </w:tcPr>
          <w:p w14:paraId="3CE44517" w14:textId="77777777" w:rsidR="00AB6F05" w:rsidRPr="00AB6F05" w:rsidRDefault="00AB6F05" w:rsidP="00274A9B">
            <w:pPr>
              <w:pStyle w:val="TableContent"/>
              <w:rPr>
                <w:lang w:eastAsia="zh-CN"/>
              </w:rPr>
            </w:pPr>
            <w:r w:rsidRPr="00AB6F05">
              <w:rPr>
                <w:lang w:eastAsia="zh-CN"/>
              </w:rPr>
              <w:t>Mutant 3</w:t>
            </w:r>
          </w:p>
        </w:tc>
      </w:tr>
      <w:tr w:rsidR="00AB6F05" w:rsidRPr="00AB6F05" w14:paraId="10FDBB06" w14:textId="77777777" w:rsidTr="00274A9B">
        <w:trPr>
          <w:tblCellSpacing w:w="10" w:type="dxa"/>
        </w:trPr>
        <w:tc>
          <w:tcPr>
            <w:tcW w:w="700" w:type="pct"/>
            <w:vAlign w:val="center"/>
            <w:hideMark/>
          </w:tcPr>
          <w:p w14:paraId="2BA9E1E4" w14:textId="77777777" w:rsidR="00AB6F05" w:rsidRPr="00AB6F05" w:rsidRDefault="00AB6F05" w:rsidP="00274A9B">
            <w:pPr>
              <w:pStyle w:val="TableContent"/>
              <w:rPr>
                <w:lang w:eastAsia="zh-CN"/>
              </w:rPr>
            </w:pPr>
            <w:r w:rsidRPr="00AB6F05">
              <w:rPr>
                <w:lang w:eastAsia="zh-CN"/>
              </w:rPr>
              <w:lastRenderedPageBreak/>
              <w:t>Area (micrometers</w:t>
            </w:r>
            <w:r w:rsidRPr="00AB6F05">
              <w:rPr>
                <w:vertAlign w:val="superscript"/>
                <w:lang w:eastAsia="zh-CN"/>
              </w:rPr>
              <w:t>2</w:t>
            </w:r>
            <w:r w:rsidRPr="00AB6F05">
              <w:rPr>
                <w:lang w:eastAsia="zh-CN"/>
              </w:rPr>
              <w:t>)</w:t>
            </w:r>
          </w:p>
        </w:tc>
        <w:tc>
          <w:tcPr>
            <w:tcW w:w="700" w:type="pct"/>
            <w:vAlign w:val="center"/>
            <w:hideMark/>
          </w:tcPr>
          <w:p w14:paraId="2F4BAEC9" w14:textId="77777777" w:rsidR="00AB6F05" w:rsidRPr="00AB6F05" w:rsidRDefault="00AB6F05" w:rsidP="00274A9B">
            <w:pPr>
              <w:pStyle w:val="TableContent"/>
              <w:rPr>
                <w:lang w:eastAsia="zh-CN"/>
              </w:rPr>
            </w:pPr>
            <w:r w:rsidRPr="00AB6F05">
              <w:rPr>
                <w:rFonts w:ascii="Arial" w:hAnsi="Arial" w:cs="Arial"/>
                <w:lang w:eastAsia="zh-CN"/>
              </w:rPr>
              <w:t>96</w:t>
            </w:r>
          </w:p>
        </w:tc>
        <w:tc>
          <w:tcPr>
            <w:tcW w:w="750" w:type="pct"/>
            <w:vAlign w:val="center"/>
            <w:hideMark/>
          </w:tcPr>
          <w:p w14:paraId="057D2F63" w14:textId="77777777" w:rsidR="00AB6F05" w:rsidRPr="00AB6F05" w:rsidRDefault="00AB6F05" w:rsidP="00274A9B">
            <w:pPr>
              <w:pStyle w:val="TableContent"/>
              <w:rPr>
                <w:lang w:eastAsia="zh-CN"/>
              </w:rPr>
            </w:pPr>
            <w:r w:rsidRPr="00AB6F05">
              <w:rPr>
                <w:rFonts w:ascii="Arial" w:hAnsi="Arial" w:cs="Arial"/>
                <w:lang w:eastAsia="zh-CN"/>
              </w:rPr>
              <w:t>111</w:t>
            </w:r>
          </w:p>
        </w:tc>
        <w:tc>
          <w:tcPr>
            <w:tcW w:w="700" w:type="pct"/>
            <w:vAlign w:val="center"/>
            <w:hideMark/>
          </w:tcPr>
          <w:p w14:paraId="2E8F9EB1" w14:textId="77777777" w:rsidR="00AB6F05" w:rsidRPr="00AB6F05" w:rsidRDefault="00AB6F05" w:rsidP="00274A9B">
            <w:pPr>
              <w:pStyle w:val="TableContent"/>
              <w:rPr>
                <w:lang w:eastAsia="zh-CN"/>
              </w:rPr>
            </w:pPr>
            <w:r w:rsidRPr="00AB6F05">
              <w:rPr>
                <w:rFonts w:ascii="Arial" w:hAnsi="Arial" w:cs="Arial"/>
                <w:lang w:eastAsia="zh-CN"/>
              </w:rPr>
              <w:t>89</w:t>
            </w:r>
          </w:p>
        </w:tc>
        <w:tc>
          <w:tcPr>
            <w:tcW w:w="750" w:type="pct"/>
            <w:vAlign w:val="center"/>
            <w:hideMark/>
          </w:tcPr>
          <w:p w14:paraId="56C7A8D7" w14:textId="77777777" w:rsidR="00AB6F05" w:rsidRPr="00AB6F05" w:rsidRDefault="00AB6F05" w:rsidP="00274A9B">
            <w:pPr>
              <w:pStyle w:val="TableContent"/>
              <w:rPr>
                <w:lang w:eastAsia="zh-CN"/>
              </w:rPr>
            </w:pPr>
            <w:r w:rsidRPr="00AB6F05">
              <w:rPr>
                <w:rFonts w:ascii="Arial" w:hAnsi="Arial" w:cs="Arial"/>
                <w:lang w:eastAsia="zh-CN"/>
              </w:rPr>
              <w:t>66</w:t>
            </w:r>
          </w:p>
        </w:tc>
        <w:tc>
          <w:tcPr>
            <w:tcW w:w="750" w:type="pct"/>
            <w:vAlign w:val="center"/>
            <w:hideMark/>
          </w:tcPr>
          <w:p w14:paraId="44A53751" w14:textId="77777777" w:rsidR="00AB6F05" w:rsidRPr="00AB6F05" w:rsidRDefault="00AB6F05" w:rsidP="00274A9B">
            <w:pPr>
              <w:pStyle w:val="TableContent"/>
              <w:rPr>
                <w:lang w:eastAsia="zh-CN"/>
              </w:rPr>
            </w:pPr>
            <w:r w:rsidRPr="00AB6F05">
              <w:rPr>
                <w:rFonts w:ascii="Arial" w:hAnsi="Arial" w:cs="Arial"/>
                <w:lang w:eastAsia="zh-CN"/>
              </w:rPr>
              <w:t>57</w:t>
            </w:r>
          </w:p>
        </w:tc>
        <w:tc>
          <w:tcPr>
            <w:tcW w:w="700" w:type="pct"/>
            <w:vAlign w:val="center"/>
            <w:hideMark/>
          </w:tcPr>
          <w:p w14:paraId="1147F7E5" w14:textId="77777777" w:rsidR="00AB6F05" w:rsidRPr="00AB6F05" w:rsidRDefault="00AB6F05" w:rsidP="00274A9B">
            <w:pPr>
              <w:pStyle w:val="TableContent"/>
              <w:rPr>
                <w:lang w:eastAsia="zh-CN"/>
              </w:rPr>
            </w:pPr>
            <w:r w:rsidRPr="00AB6F05">
              <w:rPr>
                <w:rFonts w:ascii="Arial" w:hAnsi="Arial" w:cs="Arial"/>
                <w:lang w:eastAsia="zh-CN"/>
              </w:rPr>
              <w:t>60</w:t>
            </w:r>
          </w:p>
        </w:tc>
      </w:tr>
      <w:tr w:rsidR="00AB6F05" w:rsidRPr="00AB6F05" w14:paraId="70B23268" w14:textId="77777777" w:rsidTr="00274A9B">
        <w:trPr>
          <w:tblCellSpacing w:w="10" w:type="dxa"/>
        </w:trPr>
        <w:tc>
          <w:tcPr>
            <w:tcW w:w="700" w:type="pct"/>
            <w:vAlign w:val="center"/>
            <w:hideMark/>
          </w:tcPr>
          <w:p w14:paraId="70FC9CCF" w14:textId="77777777" w:rsidR="00AB6F05" w:rsidRPr="00AB6F05" w:rsidRDefault="00AB6F05" w:rsidP="00274A9B">
            <w:pPr>
              <w:pStyle w:val="TableContent"/>
              <w:rPr>
                <w:lang w:eastAsia="zh-CN"/>
              </w:rPr>
            </w:pPr>
            <w:r w:rsidRPr="00AB6F05">
              <w:rPr>
                <w:lang w:eastAsia="zh-CN"/>
              </w:rPr>
              <w:t>Perimeter (micrometers)</w:t>
            </w:r>
          </w:p>
        </w:tc>
        <w:tc>
          <w:tcPr>
            <w:tcW w:w="700" w:type="pct"/>
            <w:vAlign w:val="center"/>
            <w:hideMark/>
          </w:tcPr>
          <w:p w14:paraId="2618A3EB" w14:textId="77777777" w:rsidR="00AB6F05" w:rsidRPr="00AB6F05" w:rsidRDefault="00AB6F05" w:rsidP="00274A9B">
            <w:pPr>
              <w:pStyle w:val="TableContent"/>
              <w:rPr>
                <w:lang w:eastAsia="zh-CN"/>
              </w:rPr>
            </w:pPr>
            <w:r w:rsidRPr="00AB6F05">
              <w:rPr>
                <w:rFonts w:ascii="Arial" w:hAnsi="Arial" w:cs="Arial"/>
                <w:lang w:eastAsia="zh-CN"/>
              </w:rPr>
              <w:t>53</w:t>
            </w:r>
          </w:p>
        </w:tc>
        <w:tc>
          <w:tcPr>
            <w:tcW w:w="750" w:type="pct"/>
            <w:vAlign w:val="center"/>
            <w:hideMark/>
          </w:tcPr>
          <w:p w14:paraId="1A552572" w14:textId="77777777" w:rsidR="00AB6F05" w:rsidRPr="00AB6F05" w:rsidRDefault="00AB6F05" w:rsidP="00274A9B">
            <w:pPr>
              <w:pStyle w:val="TableContent"/>
              <w:rPr>
                <w:lang w:eastAsia="zh-CN"/>
              </w:rPr>
            </w:pPr>
            <w:r w:rsidRPr="00AB6F05">
              <w:rPr>
                <w:rFonts w:ascii="Arial" w:hAnsi="Arial" w:cs="Arial"/>
                <w:lang w:eastAsia="zh-CN"/>
              </w:rPr>
              <w:t>49</w:t>
            </w:r>
          </w:p>
        </w:tc>
        <w:tc>
          <w:tcPr>
            <w:tcW w:w="700" w:type="pct"/>
            <w:vAlign w:val="center"/>
            <w:hideMark/>
          </w:tcPr>
          <w:p w14:paraId="4F8A4D4C" w14:textId="77777777" w:rsidR="00AB6F05" w:rsidRPr="00AB6F05" w:rsidRDefault="00AB6F05" w:rsidP="00274A9B">
            <w:pPr>
              <w:pStyle w:val="TableContent"/>
              <w:rPr>
                <w:lang w:eastAsia="zh-CN"/>
              </w:rPr>
            </w:pPr>
            <w:r w:rsidRPr="00AB6F05">
              <w:rPr>
                <w:rFonts w:ascii="Arial" w:hAnsi="Arial" w:cs="Arial"/>
                <w:lang w:eastAsia="zh-CN"/>
              </w:rPr>
              <w:t>48</w:t>
            </w:r>
          </w:p>
        </w:tc>
        <w:tc>
          <w:tcPr>
            <w:tcW w:w="750" w:type="pct"/>
            <w:vAlign w:val="center"/>
            <w:hideMark/>
          </w:tcPr>
          <w:p w14:paraId="07C43002" w14:textId="77777777" w:rsidR="00AB6F05" w:rsidRPr="00AB6F05" w:rsidRDefault="00AB6F05" w:rsidP="00274A9B">
            <w:pPr>
              <w:pStyle w:val="TableContent"/>
              <w:rPr>
                <w:lang w:eastAsia="zh-CN"/>
              </w:rPr>
            </w:pPr>
            <w:r w:rsidRPr="00AB6F05">
              <w:rPr>
                <w:rFonts w:ascii="Arial" w:hAnsi="Arial" w:cs="Arial"/>
                <w:lang w:eastAsia="zh-CN"/>
              </w:rPr>
              <w:t>34</w:t>
            </w:r>
          </w:p>
        </w:tc>
        <w:tc>
          <w:tcPr>
            <w:tcW w:w="750" w:type="pct"/>
            <w:vAlign w:val="center"/>
            <w:hideMark/>
          </w:tcPr>
          <w:p w14:paraId="0C727693" w14:textId="77777777" w:rsidR="00AB6F05" w:rsidRPr="00AB6F05" w:rsidRDefault="00AB6F05" w:rsidP="00274A9B">
            <w:pPr>
              <w:pStyle w:val="TableContent"/>
              <w:rPr>
                <w:lang w:eastAsia="zh-CN"/>
              </w:rPr>
            </w:pPr>
            <w:r w:rsidRPr="00AB6F05">
              <w:rPr>
                <w:rFonts w:ascii="Arial" w:hAnsi="Arial" w:cs="Arial"/>
                <w:lang w:eastAsia="zh-CN"/>
              </w:rPr>
              <w:t>32</w:t>
            </w:r>
          </w:p>
        </w:tc>
        <w:tc>
          <w:tcPr>
            <w:tcW w:w="700" w:type="pct"/>
            <w:vAlign w:val="center"/>
            <w:hideMark/>
          </w:tcPr>
          <w:p w14:paraId="1E3BA192" w14:textId="77777777" w:rsidR="00AB6F05" w:rsidRPr="00AB6F05" w:rsidRDefault="00AB6F05" w:rsidP="00274A9B">
            <w:pPr>
              <w:pStyle w:val="TableContent"/>
              <w:rPr>
                <w:lang w:eastAsia="zh-CN"/>
              </w:rPr>
            </w:pPr>
            <w:r w:rsidRPr="00AB6F05">
              <w:rPr>
                <w:rFonts w:ascii="Arial" w:hAnsi="Arial" w:cs="Arial"/>
                <w:lang w:eastAsia="zh-CN"/>
              </w:rPr>
              <w:t>32</w:t>
            </w:r>
          </w:p>
        </w:tc>
      </w:tr>
    </w:tbl>
    <w:p w14:paraId="7F44ADD9" w14:textId="77777777" w:rsidR="00274A9B" w:rsidRDefault="00274A9B" w:rsidP="00AB6F05">
      <w:pPr>
        <w:rPr>
          <w:lang w:eastAsia="zh-CN"/>
        </w:rPr>
      </w:pPr>
    </w:p>
    <w:p w14:paraId="08CE5798" w14:textId="77777777" w:rsidR="00AB6F05" w:rsidRPr="00AB6F05" w:rsidRDefault="00AB6F05" w:rsidP="00AB6F05">
      <w:pPr>
        <w:rPr>
          <w:lang w:eastAsia="zh-CN"/>
        </w:rPr>
      </w:pPr>
      <w:r w:rsidRPr="00AB6F05">
        <w:rPr>
          <w:lang w:eastAsia="zh-CN"/>
        </w:rPr>
        <w:t xml:space="preserve">We can then calculate and graph the mean roundness for </w:t>
      </w:r>
      <w:r w:rsidR="00274A9B" w:rsidRPr="00AB6F05">
        <w:rPr>
          <w:lang w:eastAsia="zh-CN"/>
        </w:rPr>
        <w:t>normal</w:t>
      </w:r>
      <w:r w:rsidRPr="00AB6F05">
        <w:rPr>
          <w:lang w:eastAsia="zh-CN"/>
        </w:rPr>
        <w:t xml:space="preserve"> and mutant cells in order to compare them.</w:t>
      </w:r>
    </w:p>
    <w:p w14:paraId="6F031C23" w14:textId="77777777" w:rsidR="008E6A8B" w:rsidRPr="008E6A8B" w:rsidRDefault="00AB6F05" w:rsidP="004B1426">
      <w:pPr>
        <w:jc w:val="center"/>
        <w:rPr>
          <w:lang w:eastAsia="zh-CN"/>
        </w:rPr>
      </w:pPr>
      <w:r w:rsidRPr="00AB6F05">
        <w:rPr>
          <w:lang w:eastAsia="zh-CN"/>
        </w:rPr>
        <w:fldChar w:fldCharType="begin"/>
      </w:r>
      <w:r w:rsidRPr="00AB6F05">
        <w:rPr>
          <w:lang w:eastAsia="zh-CN"/>
        </w:rPr>
        <w:instrText xml:space="preserve"> INCLUDEPICTURE "http://www.tiem.utk.edu/~gross/bioed/webmodules/cellshpchart.gif" \* MERGEFORMATINET </w:instrText>
      </w:r>
      <w:r w:rsidRPr="00AB6F05">
        <w:rPr>
          <w:lang w:eastAsia="zh-CN"/>
        </w:rPr>
        <w:fldChar w:fldCharType="separate"/>
      </w:r>
      <w:r w:rsidRPr="00AB6F05">
        <w:rPr>
          <w:noProof/>
          <w:lang w:eastAsia="zh-CN"/>
        </w:rPr>
        <w:drawing>
          <wp:inline distT="0" distB="0" distL="0" distR="0" wp14:anchorId="4B98B113" wp14:editId="3BCE086F">
            <wp:extent cx="3657600" cy="2850952"/>
            <wp:effectExtent l="0" t="0" r="0" b="0"/>
            <wp:docPr id="1" name="Picture 1" descr="http://www.tiem.utk.edu/~gross/bioed/webmodules/cellshp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em.utk.edu/~gross/bioed/webmodules/cellshpchar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850952"/>
                    </a:xfrm>
                    <a:prstGeom prst="rect">
                      <a:avLst/>
                    </a:prstGeom>
                    <a:noFill/>
                    <a:ln>
                      <a:noFill/>
                    </a:ln>
                  </pic:spPr>
                </pic:pic>
              </a:graphicData>
            </a:graphic>
          </wp:inline>
        </w:drawing>
      </w:r>
      <w:r w:rsidRPr="00AB6F05">
        <w:rPr>
          <w:lang w:eastAsia="zh-CN"/>
        </w:rPr>
        <w:fldChar w:fldCharType="end"/>
      </w:r>
    </w:p>
    <w:p w14:paraId="655B5436" w14:textId="77777777" w:rsidR="00283F45" w:rsidRDefault="00283F45" w:rsidP="00283F45">
      <w:pPr>
        <w:pStyle w:val="Heading1"/>
      </w:pPr>
      <w:r w:rsidRPr="00283F45">
        <w:t>Interpretation</w:t>
      </w:r>
    </w:p>
    <w:p w14:paraId="7BBA923A" w14:textId="77777777" w:rsidR="008E6A8B" w:rsidRPr="008E6A8B" w:rsidRDefault="00EF478F" w:rsidP="008E6A8B">
      <w:r w:rsidRPr="00EF478F">
        <w:t xml:space="preserve">Normal cells, which assemble myosin normally, are somewhat elongate and have roundness values averaging 49.8%. Mutant cells, which </w:t>
      </w:r>
      <w:proofErr w:type="spellStart"/>
      <w:r w:rsidRPr="00EF478F">
        <w:t>overassemble</w:t>
      </w:r>
      <w:proofErr w:type="spellEnd"/>
      <w:r w:rsidRPr="00EF478F">
        <w:t xml:space="preserve"> myosin, were found to have significantly higher roundness at approximately 71.7%.</w:t>
      </w:r>
    </w:p>
    <w:p w14:paraId="3F88A984" w14:textId="77777777" w:rsidR="00283F45" w:rsidRDefault="00283F45" w:rsidP="00283F45">
      <w:pPr>
        <w:pStyle w:val="Heading1"/>
      </w:pPr>
      <w:r>
        <w:t>Conclusion</w:t>
      </w:r>
    </w:p>
    <w:p w14:paraId="78DBFCE6" w14:textId="77777777" w:rsidR="008E6A8B" w:rsidRPr="008E6A8B" w:rsidRDefault="00EF478F" w:rsidP="008E6A8B">
      <w:r w:rsidRPr="00EF478F">
        <w:t xml:space="preserve">The abnormally round shape of mutant cells may be due to the high level of tension in the cell due to the </w:t>
      </w:r>
      <w:proofErr w:type="spellStart"/>
      <w:r w:rsidRPr="00EF478F">
        <w:t>overassembly</w:t>
      </w:r>
      <w:proofErr w:type="spellEnd"/>
      <w:r w:rsidRPr="00EF478F">
        <w:t xml:space="preserve"> of myosin. In normal cells, moderate levels of myosin help maintain the elongate shape. By quantifying cell roundness, we can assess the effects of myosin assembly on cell shape.</w:t>
      </w:r>
    </w:p>
    <w:p w14:paraId="2A81FC7E" w14:textId="77777777" w:rsidR="008E6A8B" w:rsidRDefault="008E6A8B" w:rsidP="00283F45">
      <w:pPr>
        <w:pStyle w:val="Heading1"/>
      </w:pPr>
      <w:r>
        <w:t>Additional Questions</w:t>
      </w:r>
    </w:p>
    <w:p w14:paraId="57C027D7" w14:textId="77777777" w:rsidR="00EF478F" w:rsidRDefault="00EF478F" w:rsidP="00EF478F">
      <w:r>
        <w:t>1. Calculate the roundness for each of the 6 cells given in the table.</w:t>
      </w:r>
    </w:p>
    <w:p w14:paraId="01C55A8C" w14:textId="77777777" w:rsidR="008E6A8B" w:rsidRPr="008E6A8B" w:rsidRDefault="00EF478F" w:rsidP="00EF478F">
      <w:r>
        <w:t>2. What would the roundness be for a cell that was shaped like a cube?</w:t>
      </w:r>
    </w:p>
    <w:p w14:paraId="0B2F4E81" w14:textId="77777777" w:rsidR="00283F45" w:rsidRDefault="00283F45" w:rsidP="00283F45">
      <w:pPr>
        <w:pStyle w:val="Heading1"/>
      </w:pPr>
      <w:r>
        <w:lastRenderedPageBreak/>
        <w:t>Source</w:t>
      </w:r>
    </w:p>
    <w:p w14:paraId="30E373B2" w14:textId="77777777" w:rsidR="008E6A8B" w:rsidRDefault="00362885" w:rsidP="00E92C55">
      <w:proofErr w:type="spellStart"/>
      <w:r w:rsidRPr="00362885">
        <w:t>Stites</w:t>
      </w:r>
      <w:proofErr w:type="spellEnd"/>
      <w:r w:rsidRPr="00362885">
        <w:t xml:space="preserve">, J., D. Wessels, A. </w:t>
      </w:r>
      <w:proofErr w:type="spellStart"/>
      <w:r w:rsidRPr="00362885">
        <w:t>Uhl</w:t>
      </w:r>
      <w:proofErr w:type="spellEnd"/>
      <w:r w:rsidRPr="00362885">
        <w:t xml:space="preserve">, T. </w:t>
      </w:r>
      <w:proofErr w:type="spellStart"/>
      <w:r w:rsidRPr="00362885">
        <w:t>Egelhoff</w:t>
      </w:r>
      <w:proofErr w:type="spellEnd"/>
      <w:r w:rsidRPr="00362885">
        <w:t xml:space="preserve">, D. </w:t>
      </w:r>
      <w:proofErr w:type="spellStart"/>
      <w:r w:rsidRPr="00362885">
        <w:t>Shutt</w:t>
      </w:r>
      <w:proofErr w:type="spellEnd"/>
      <w:r w:rsidRPr="00362885">
        <w:t xml:space="preserve">, and D. R. Soll. 1998. Phosphorylation of the </w:t>
      </w:r>
      <w:proofErr w:type="spellStart"/>
      <w:r w:rsidRPr="00362885">
        <w:t>Dictyostelium</w:t>
      </w:r>
      <w:proofErr w:type="spellEnd"/>
      <w:r w:rsidRPr="00362885">
        <w:t xml:space="preserve"> myosin II heavy chain is necessary for maintaining cellular polarity and suppressing turning during chemotaxis. </w:t>
      </w:r>
      <w:r w:rsidRPr="00362885">
        <w:rPr>
          <w:i/>
        </w:rPr>
        <w:t>Cell Motility and the Cytoskeleton 39</w:t>
      </w:r>
      <w:r w:rsidRPr="00362885">
        <w:t>:31-51</w:t>
      </w:r>
    </w:p>
    <w:p w14:paraId="20DA536A" w14:textId="77777777" w:rsidR="00A207B5" w:rsidRPr="00283F45" w:rsidRDefault="00A207B5" w:rsidP="00283F45">
      <w:pPr>
        <w:pStyle w:val="Heading1"/>
      </w:pPr>
      <w:r w:rsidRPr="00283F45">
        <w:t>About this Resource</w:t>
      </w:r>
    </w:p>
    <w:p w14:paraId="72BED957"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xml:space="preserve">” - National Science Foundation Award DUE-9752339 to the University of Tennessee, Knoxville for August 1, 1998 - July 31, 2000. Principal Investigator: Louis J. Gross. Co-Principal Investigators: Beth C. Mullin and Susan E. </w:t>
      </w:r>
      <w:proofErr w:type="spellStart"/>
      <w:r>
        <w:t>Riechert</w:t>
      </w:r>
      <w:proofErr w:type="spellEnd"/>
      <w:r>
        <w:t>.</w:t>
      </w:r>
    </w:p>
    <w:p w14:paraId="1EA4E045"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363C8A76"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4E661" w14:textId="77777777" w:rsidR="00CA5FE8" w:rsidRDefault="00CA5FE8" w:rsidP="00A207B5">
      <w:r>
        <w:separator/>
      </w:r>
    </w:p>
  </w:endnote>
  <w:endnote w:type="continuationSeparator" w:id="0">
    <w:p w14:paraId="4E1D5BC1" w14:textId="77777777" w:rsidR="00CA5FE8" w:rsidRDefault="00CA5FE8" w:rsidP="00A207B5">
      <w:r>
        <w:continuationSeparator/>
      </w:r>
    </w:p>
  </w:endnote>
  <w:endnote w:id="1">
    <w:p w14:paraId="45C560FF" w14:textId="77777777" w:rsidR="00A207B5" w:rsidRDefault="00A207B5" w:rsidP="00A207B5">
      <w:pPr>
        <w:pStyle w:val="EndnoteText"/>
      </w:pPr>
      <w:r>
        <w:rPr>
          <w:rStyle w:val="EndnoteReference"/>
        </w:rPr>
        <w:endnoteRef/>
      </w:r>
      <w:r>
        <w:t xml:space="preserve"> http://www.tiem.utk.edu/~gross/bioed/</w:t>
      </w:r>
    </w:p>
  </w:endnote>
  <w:endnote w:id="2">
    <w:p w14:paraId="402702D5" w14:textId="77777777" w:rsidR="00A207B5" w:rsidRDefault="00A207B5" w:rsidP="00A207B5">
      <w:pPr>
        <w:pStyle w:val="EndnoteText"/>
      </w:pPr>
      <w:r>
        <w:rPr>
          <w:rStyle w:val="EndnoteReference"/>
        </w:rPr>
        <w:endnoteRef/>
      </w:r>
      <w:r>
        <w:t xml:space="preserve"> https://qubeshub.org/community/groups/quantbioatcc/</w:t>
      </w:r>
    </w:p>
  </w:endnote>
  <w:endnote w:id="3">
    <w:p w14:paraId="33A48A4F"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4A5AC5E0" w14:textId="5966B07E" w:rsidR="00A207B5" w:rsidRDefault="00A207B5" w:rsidP="00A207B5">
      <w:pPr>
        <w:pStyle w:val="EndnoteText"/>
      </w:pPr>
      <w:r>
        <w:rPr>
          <w:rStyle w:val="EndnoteReference"/>
        </w:rPr>
        <w:endnoteRef/>
      </w:r>
      <w:r>
        <w:t xml:space="preserve"> </w:t>
      </w:r>
      <w:r w:rsidRPr="00B50C5B">
        <w:t>https://qubeshub.org/qubesresources/publications/</w:t>
      </w:r>
      <w:r w:rsidR="00D16FC1" w:rsidRPr="00D16FC1">
        <w:t>1032</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0B058" w14:textId="77777777" w:rsidR="00CA5FE8" w:rsidRDefault="00CA5FE8" w:rsidP="00A207B5">
      <w:r>
        <w:separator/>
      </w:r>
    </w:p>
  </w:footnote>
  <w:footnote w:type="continuationSeparator" w:id="0">
    <w:p w14:paraId="64FBBDCA" w14:textId="77777777" w:rsidR="00CA5FE8" w:rsidRDefault="00CA5FE8"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66"/>
    <w:rsid w:val="000D79DD"/>
    <w:rsid w:val="001E2492"/>
    <w:rsid w:val="001E2C66"/>
    <w:rsid w:val="00274A9B"/>
    <w:rsid w:val="00283F45"/>
    <w:rsid w:val="002C71F1"/>
    <w:rsid w:val="00302242"/>
    <w:rsid w:val="003607A8"/>
    <w:rsid w:val="00362885"/>
    <w:rsid w:val="004B1426"/>
    <w:rsid w:val="00621462"/>
    <w:rsid w:val="00735464"/>
    <w:rsid w:val="007F0B29"/>
    <w:rsid w:val="00893506"/>
    <w:rsid w:val="00897E96"/>
    <w:rsid w:val="008C6F56"/>
    <w:rsid w:val="008E6A8B"/>
    <w:rsid w:val="009E22EA"/>
    <w:rsid w:val="009F2F12"/>
    <w:rsid w:val="00A207B5"/>
    <w:rsid w:val="00AB0D29"/>
    <w:rsid w:val="00AB6F05"/>
    <w:rsid w:val="00BE3B85"/>
    <w:rsid w:val="00CA5FE8"/>
    <w:rsid w:val="00CD3585"/>
    <w:rsid w:val="00D16FC1"/>
    <w:rsid w:val="00DB5A46"/>
    <w:rsid w:val="00E92C55"/>
    <w:rsid w:val="00EF478F"/>
    <w:rsid w:val="00F24DEF"/>
    <w:rsid w:val="00F351F7"/>
    <w:rsid w:val="00FC4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0CC3608"/>
  <w15:chartTrackingRefBased/>
  <w15:docId w15:val="{A62B8D1C-3855-154D-B94F-0F50D76F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semiHidden/>
    <w:unhideWhenUsed/>
    <w:rsid w:val="00AB6F05"/>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F35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51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226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6</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10</cp:revision>
  <dcterms:created xsi:type="dcterms:W3CDTF">2019-01-14T22:28:00Z</dcterms:created>
  <dcterms:modified xsi:type="dcterms:W3CDTF">2019-02-01T20:42:00Z</dcterms:modified>
</cp:coreProperties>
</file>