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E1DE" w14:textId="77777777" w:rsidR="00A207B5" w:rsidRPr="00A207B5" w:rsidRDefault="00127CF0" w:rsidP="00A207B5">
      <w:pPr>
        <w:pStyle w:val="Title"/>
      </w:pPr>
      <w:r w:rsidRPr="00127CF0">
        <w:t>Body Size Constraints in Xylem Feeding Insects: Allometric Relationships</w:t>
      </w:r>
    </w:p>
    <w:p w14:paraId="000FADEF" w14:textId="77777777" w:rsidR="00A207B5" w:rsidRDefault="00A207B5" w:rsidP="00283F45">
      <w:pPr>
        <w:pStyle w:val="Heading1"/>
      </w:pPr>
      <w:r w:rsidRPr="00283F45">
        <w:t>Introduction</w:t>
      </w:r>
    </w:p>
    <w:p w14:paraId="74906AB6" w14:textId="77777777" w:rsidR="00074159" w:rsidRPr="00074159" w:rsidRDefault="00074159" w:rsidP="00074159">
      <w:pPr>
        <w:rPr>
          <w:lang w:eastAsia="zh-CN"/>
        </w:rPr>
      </w:pPr>
      <w:r w:rsidRPr="00074159">
        <w:rPr>
          <w:lang w:eastAsia="zh-CN"/>
        </w:rPr>
        <w:t>Some biological attributes of organisms scale proportionately with body size; for a given type of organism the relationship between a physical or physiological attribute and body size is the same regardless of the organism's size. Often, however, this relationship changes relative to the size of the organism. For example, metabolic rate increases with body mass, but increases less than one would expect if the relationship were simply proportional. On the other hand, skeleton weight increases with body mass more than expected based on simple proportionality. Similar relationships are found in plants: tree diameter increases with height, but at a greater-than-proportional rate. These are examples of allometric relationships, in which the scaling relationship between some biological attribute and body size is dependent on the organism's size.</w:t>
      </w:r>
    </w:p>
    <w:p w14:paraId="635AAD7F" w14:textId="77777777" w:rsidR="00074159" w:rsidRPr="00074159" w:rsidRDefault="00074159" w:rsidP="00074159">
      <w:pPr>
        <w:rPr>
          <w:lang w:eastAsia="zh-CN"/>
        </w:rPr>
      </w:pPr>
      <w:r w:rsidRPr="00074159">
        <w:rPr>
          <w:lang w:eastAsia="zh-CN"/>
        </w:rPr>
        <w:t>The distribution of species with different feeding modes among body size classes is shown below for the herbivorous insect fauna of India (graph redrawn from Novotny &amp; Wilson, 1997 [data from Distant, 1906-18, in Novotny &amp; Wilson]). For each body size class (indexed by body length) the graph shows the percentage of species in that size class that feed on xylem, phloem, or mesophyll cells.</w:t>
      </w:r>
    </w:p>
    <w:p w14:paraId="28BEBF79" w14:textId="77777777" w:rsidR="00074159" w:rsidRPr="00074159" w:rsidRDefault="00074159" w:rsidP="00074159">
      <w:pPr>
        <w:jc w:val="center"/>
        <w:rPr>
          <w:lang w:eastAsia="zh-CN"/>
        </w:rPr>
      </w:pPr>
      <w:r w:rsidRPr="00074159">
        <w:rPr>
          <w:lang w:eastAsia="zh-CN"/>
        </w:rPr>
        <w:fldChar w:fldCharType="begin"/>
      </w:r>
      <w:r w:rsidRPr="00074159">
        <w:rPr>
          <w:lang w:eastAsia="zh-CN"/>
        </w:rPr>
        <w:instrText xml:space="preserve"> INCLUDEPICTURE "http://www.tiem.utk.edu/~gross/bioed/bealsmodules/allometry.gph1.gif" \* MERGEFORMATINET </w:instrText>
      </w:r>
      <w:r w:rsidRPr="00074159">
        <w:rPr>
          <w:lang w:eastAsia="zh-CN"/>
        </w:rPr>
        <w:fldChar w:fldCharType="separate"/>
      </w:r>
      <w:r w:rsidRPr="00074159">
        <w:rPr>
          <w:noProof/>
          <w:lang w:eastAsia="zh-CN"/>
        </w:rPr>
        <w:drawing>
          <wp:inline distT="0" distB="0" distL="0" distR="0" wp14:anchorId="27F44437" wp14:editId="60E9AAA0">
            <wp:extent cx="3657600" cy="2475639"/>
            <wp:effectExtent l="0" t="0" r="0" b="0"/>
            <wp:docPr id="1" name="Picture 1" descr="http://www.tiem.utk.edu/~gross/bioed/bealsmodules/allometry.gp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em.utk.edu/~gross/bioed/bealsmodules/allometry.gph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475639"/>
                    </a:xfrm>
                    <a:prstGeom prst="rect">
                      <a:avLst/>
                    </a:prstGeom>
                    <a:noFill/>
                    <a:ln>
                      <a:noFill/>
                    </a:ln>
                  </pic:spPr>
                </pic:pic>
              </a:graphicData>
            </a:graphic>
          </wp:inline>
        </w:drawing>
      </w:r>
      <w:r w:rsidRPr="00074159">
        <w:rPr>
          <w:lang w:eastAsia="zh-CN"/>
        </w:rPr>
        <w:fldChar w:fldCharType="end"/>
      </w:r>
    </w:p>
    <w:p w14:paraId="38C452BC" w14:textId="77777777" w:rsidR="008E6A8B" w:rsidRPr="00065173" w:rsidRDefault="00074159" w:rsidP="008E6A8B">
      <w:pPr>
        <w:rPr>
          <w:color w:val="auto"/>
          <w:sz w:val="24"/>
          <w:szCs w:val="24"/>
          <w:lang w:eastAsia="zh-CN"/>
        </w:rPr>
      </w:pPr>
      <w:r w:rsidRPr="00074159">
        <w:rPr>
          <w:shd w:val="clear" w:color="auto" w:fill="FFFFFF"/>
          <w:lang w:eastAsia="zh-CN"/>
        </w:rPr>
        <w:t>Note that there are no xylem feeders in the two smallest size classes.</w:t>
      </w:r>
    </w:p>
    <w:p w14:paraId="5EA6BE9A" w14:textId="77777777" w:rsidR="00283F45" w:rsidRDefault="00283F45" w:rsidP="00283F45">
      <w:pPr>
        <w:pStyle w:val="Heading1"/>
      </w:pPr>
      <w:r w:rsidRPr="00283F45">
        <w:t>Importance</w:t>
      </w:r>
    </w:p>
    <w:p w14:paraId="3DEAFEA6" w14:textId="77777777" w:rsidR="008E6A8B" w:rsidRPr="008E6A8B" w:rsidRDefault="00503907" w:rsidP="008E6A8B">
      <w:r w:rsidRPr="00503907">
        <w:t xml:space="preserve">A change in size, whether during the course of an organism's lifetime or the course of a taxon's evolution, imposes physical and physiological constraints. In the case of a </w:t>
      </w:r>
      <w:r w:rsidRPr="00503907">
        <w:lastRenderedPageBreak/>
        <w:t>skeleton or a tree trunk, for example, an increase in size would be constrained by problems of strength if not compensated for by changes in allometric relationships.</w:t>
      </w:r>
    </w:p>
    <w:p w14:paraId="7B3804F0" w14:textId="77777777" w:rsidR="00283F45" w:rsidRDefault="00283F45" w:rsidP="00283F45">
      <w:pPr>
        <w:pStyle w:val="Heading1"/>
      </w:pPr>
      <w:r>
        <w:t>Questions</w:t>
      </w:r>
    </w:p>
    <w:p w14:paraId="2F2254D6" w14:textId="77777777" w:rsidR="008E6A8B" w:rsidRPr="008E6A8B" w:rsidRDefault="001B1F71" w:rsidP="008E6A8B">
      <w:r w:rsidRPr="001B1F71">
        <w:t>Can allometric relationships explain the lack of small xylem-feeding insect species?</w:t>
      </w:r>
    </w:p>
    <w:p w14:paraId="531D7413" w14:textId="77777777" w:rsidR="00283F45" w:rsidRDefault="00283F45" w:rsidP="00283F45">
      <w:pPr>
        <w:pStyle w:val="Heading1"/>
      </w:pPr>
      <w:r>
        <w:t>Variables</w:t>
      </w:r>
    </w:p>
    <w:p w14:paraId="2BFAF10B" w14:textId="77777777" w:rsidR="00E62C70" w:rsidRPr="00E62C70" w:rsidRDefault="00E62C70" w:rsidP="00E62C70">
      <w:pPr>
        <w:spacing w:after="0" w:line="240" w:lineRule="auto"/>
        <w:rPr>
          <w:color w:val="auto"/>
          <w:sz w:val="24"/>
          <w:szCs w:val="24"/>
          <w:lang w:eastAsia="zh-CN"/>
        </w:rPr>
      </w:pPr>
    </w:p>
    <w:tbl>
      <w:tblPr>
        <w:tblW w:w="43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595"/>
        <w:gridCol w:w="3725"/>
      </w:tblGrid>
      <w:tr w:rsidR="00E62C70" w:rsidRPr="00E62C70" w14:paraId="1613D47C" w14:textId="77777777" w:rsidTr="00E62C70">
        <w:trPr>
          <w:tblCellSpacing w:w="15" w:type="dxa"/>
        </w:trPr>
        <w:tc>
          <w:tcPr>
            <w:tcW w:w="650" w:type="pct"/>
            <w:shd w:val="clear" w:color="auto" w:fill="FFFFFF"/>
            <w:hideMark/>
          </w:tcPr>
          <w:p w14:paraId="54FDFB4D" w14:textId="77777777" w:rsidR="00E62C70" w:rsidRPr="00E62C70" w:rsidRDefault="00E62C70" w:rsidP="00E62C70">
            <w:pPr>
              <w:pStyle w:val="TableContent"/>
              <w:rPr>
                <w:lang w:eastAsia="zh-CN"/>
              </w:rPr>
            </w:pPr>
            <w:r w:rsidRPr="00E62C70">
              <w:rPr>
                <w:lang w:eastAsia="zh-CN"/>
              </w:rPr>
              <w:t>Y</w:t>
            </w:r>
          </w:p>
        </w:tc>
        <w:tc>
          <w:tcPr>
            <w:tcW w:w="4400" w:type="pct"/>
            <w:shd w:val="clear" w:color="auto" w:fill="FFFFFF"/>
            <w:hideMark/>
          </w:tcPr>
          <w:p w14:paraId="2E9E9DAD" w14:textId="77777777" w:rsidR="00E62C70" w:rsidRPr="00E62C70" w:rsidRDefault="00E62C70" w:rsidP="00E62C70">
            <w:pPr>
              <w:pStyle w:val="TableContent"/>
              <w:rPr>
                <w:lang w:eastAsia="zh-CN"/>
              </w:rPr>
            </w:pPr>
            <w:r w:rsidRPr="00E62C70">
              <w:rPr>
                <w:lang w:eastAsia="zh-CN"/>
              </w:rPr>
              <w:t>a biological variable, such as body mass or length</w:t>
            </w:r>
          </w:p>
        </w:tc>
      </w:tr>
      <w:tr w:rsidR="00E62C70" w:rsidRPr="00E62C70" w14:paraId="7FF5D703" w14:textId="77777777" w:rsidTr="00E62C70">
        <w:trPr>
          <w:tblCellSpacing w:w="15" w:type="dxa"/>
        </w:trPr>
        <w:tc>
          <w:tcPr>
            <w:tcW w:w="650" w:type="pct"/>
            <w:shd w:val="clear" w:color="auto" w:fill="FFFFFF"/>
            <w:hideMark/>
          </w:tcPr>
          <w:p w14:paraId="11CB5C56" w14:textId="77777777" w:rsidR="00E62C70" w:rsidRPr="00E62C70" w:rsidRDefault="00E62C70" w:rsidP="00E62C70">
            <w:pPr>
              <w:pStyle w:val="TableContent"/>
              <w:rPr>
                <w:lang w:eastAsia="zh-CN"/>
              </w:rPr>
            </w:pPr>
            <w:r w:rsidRPr="00E62C70">
              <w:rPr>
                <w:lang w:eastAsia="zh-CN"/>
              </w:rPr>
              <w:t>a</w:t>
            </w:r>
          </w:p>
        </w:tc>
        <w:tc>
          <w:tcPr>
            <w:tcW w:w="4400" w:type="pct"/>
            <w:shd w:val="clear" w:color="auto" w:fill="FFFFFF"/>
            <w:hideMark/>
          </w:tcPr>
          <w:p w14:paraId="41A20710" w14:textId="77777777" w:rsidR="00E62C70" w:rsidRPr="00E62C70" w:rsidRDefault="00E62C70" w:rsidP="00E62C70">
            <w:pPr>
              <w:pStyle w:val="TableContent"/>
              <w:rPr>
                <w:lang w:eastAsia="zh-CN"/>
              </w:rPr>
            </w:pPr>
            <w:r w:rsidRPr="00E62C70">
              <w:rPr>
                <w:lang w:eastAsia="zh-CN"/>
              </w:rPr>
              <w:t>constant in allometric equations</w:t>
            </w:r>
          </w:p>
        </w:tc>
      </w:tr>
      <w:tr w:rsidR="00E62C70" w:rsidRPr="00E62C70" w14:paraId="58243A30" w14:textId="77777777" w:rsidTr="00E62C70">
        <w:trPr>
          <w:tblCellSpacing w:w="15" w:type="dxa"/>
        </w:trPr>
        <w:tc>
          <w:tcPr>
            <w:tcW w:w="650" w:type="pct"/>
            <w:shd w:val="clear" w:color="auto" w:fill="FFFFFF"/>
            <w:hideMark/>
          </w:tcPr>
          <w:p w14:paraId="15468501" w14:textId="77777777" w:rsidR="00E62C70" w:rsidRPr="00E62C70" w:rsidRDefault="00E62C70" w:rsidP="00E62C70">
            <w:pPr>
              <w:pStyle w:val="TableContent"/>
              <w:rPr>
                <w:lang w:eastAsia="zh-CN"/>
              </w:rPr>
            </w:pPr>
            <w:r w:rsidRPr="00E62C70">
              <w:rPr>
                <w:lang w:eastAsia="zh-CN"/>
              </w:rPr>
              <w:t>b</w:t>
            </w:r>
          </w:p>
        </w:tc>
        <w:tc>
          <w:tcPr>
            <w:tcW w:w="4400" w:type="pct"/>
            <w:shd w:val="clear" w:color="auto" w:fill="FFFFFF"/>
            <w:hideMark/>
          </w:tcPr>
          <w:p w14:paraId="4D693507" w14:textId="77777777" w:rsidR="00E62C70" w:rsidRPr="00E62C70" w:rsidRDefault="00E62C70" w:rsidP="00E62C70">
            <w:pPr>
              <w:pStyle w:val="TableContent"/>
              <w:rPr>
                <w:lang w:eastAsia="zh-CN"/>
              </w:rPr>
            </w:pPr>
            <w:r w:rsidRPr="00E62C70">
              <w:rPr>
                <w:lang w:eastAsia="zh-CN"/>
              </w:rPr>
              <w:t>constant in allometric equations</w:t>
            </w:r>
          </w:p>
        </w:tc>
      </w:tr>
      <w:tr w:rsidR="00E62C70" w:rsidRPr="00E62C70" w14:paraId="173F336A" w14:textId="77777777" w:rsidTr="00E62C70">
        <w:trPr>
          <w:tblCellSpacing w:w="15" w:type="dxa"/>
        </w:trPr>
        <w:tc>
          <w:tcPr>
            <w:tcW w:w="650" w:type="pct"/>
            <w:shd w:val="clear" w:color="auto" w:fill="FFFFFF"/>
            <w:hideMark/>
          </w:tcPr>
          <w:p w14:paraId="00D92BD1" w14:textId="77777777" w:rsidR="00E62C70" w:rsidRPr="00E62C70" w:rsidRDefault="00E62C70" w:rsidP="00E62C70">
            <w:pPr>
              <w:pStyle w:val="TableContent"/>
              <w:rPr>
                <w:lang w:eastAsia="zh-CN"/>
              </w:rPr>
            </w:pPr>
            <w:proofErr w:type="spellStart"/>
            <w:r w:rsidRPr="00E62C70">
              <w:rPr>
                <w:lang w:eastAsia="zh-CN"/>
              </w:rPr>
              <w:t>B</w:t>
            </w:r>
            <w:r w:rsidRPr="00E62C70">
              <w:rPr>
                <w:vertAlign w:val="subscript"/>
                <w:lang w:eastAsia="zh-CN"/>
              </w:rPr>
              <w:t>v</w:t>
            </w:r>
            <w:proofErr w:type="spellEnd"/>
          </w:p>
        </w:tc>
        <w:tc>
          <w:tcPr>
            <w:tcW w:w="4400" w:type="pct"/>
            <w:shd w:val="clear" w:color="auto" w:fill="FFFFFF"/>
            <w:hideMark/>
          </w:tcPr>
          <w:p w14:paraId="2672A561" w14:textId="77777777" w:rsidR="00E62C70" w:rsidRPr="00E62C70" w:rsidRDefault="00E62C70" w:rsidP="00E62C70">
            <w:pPr>
              <w:pStyle w:val="TableContent"/>
              <w:rPr>
                <w:lang w:eastAsia="zh-CN"/>
              </w:rPr>
            </w:pPr>
            <w:r w:rsidRPr="00E62C70">
              <w:rPr>
                <w:lang w:eastAsia="zh-CN"/>
              </w:rPr>
              <w:t>body volume (mm</w:t>
            </w:r>
            <w:r w:rsidRPr="00E62C70">
              <w:rPr>
                <w:vertAlign w:val="superscript"/>
                <w:lang w:eastAsia="zh-CN"/>
              </w:rPr>
              <w:t>3</w:t>
            </w:r>
            <w:r w:rsidRPr="00E62C70">
              <w:rPr>
                <w:lang w:eastAsia="zh-CN"/>
              </w:rPr>
              <w:t>)</w:t>
            </w:r>
          </w:p>
        </w:tc>
      </w:tr>
      <w:tr w:rsidR="00E62C70" w:rsidRPr="00E62C70" w14:paraId="01D565EB" w14:textId="77777777" w:rsidTr="00E62C70">
        <w:trPr>
          <w:tblCellSpacing w:w="15" w:type="dxa"/>
        </w:trPr>
        <w:tc>
          <w:tcPr>
            <w:tcW w:w="650" w:type="pct"/>
            <w:shd w:val="clear" w:color="auto" w:fill="FFFFFF"/>
            <w:hideMark/>
          </w:tcPr>
          <w:p w14:paraId="6EA418D3" w14:textId="77777777" w:rsidR="00E62C70" w:rsidRPr="00E62C70" w:rsidRDefault="00E62C70" w:rsidP="00E62C70">
            <w:pPr>
              <w:pStyle w:val="TableContent"/>
              <w:rPr>
                <w:lang w:eastAsia="zh-CN"/>
              </w:rPr>
            </w:pPr>
            <w:r w:rsidRPr="00E62C70">
              <w:rPr>
                <w:lang w:eastAsia="zh-CN"/>
              </w:rPr>
              <w:t>X</w:t>
            </w:r>
            <w:r w:rsidRPr="00E62C70">
              <w:rPr>
                <w:vertAlign w:val="subscript"/>
                <w:lang w:eastAsia="zh-CN"/>
              </w:rPr>
              <w:t>v</w:t>
            </w:r>
          </w:p>
        </w:tc>
        <w:tc>
          <w:tcPr>
            <w:tcW w:w="4400" w:type="pct"/>
            <w:shd w:val="clear" w:color="auto" w:fill="FFFFFF"/>
            <w:hideMark/>
          </w:tcPr>
          <w:p w14:paraId="28593866" w14:textId="77777777" w:rsidR="00E62C70" w:rsidRPr="00E62C70" w:rsidRDefault="00E62C70" w:rsidP="00E62C70">
            <w:pPr>
              <w:pStyle w:val="TableContent"/>
              <w:rPr>
                <w:lang w:eastAsia="zh-CN"/>
              </w:rPr>
            </w:pPr>
            <w:r w:rsidRPr="00E62C70">
              <w:rPr>
                <w:lang w:eastAsia="zh-CN"/>
              </w:rPr>
              <w:t>volume flow of xylem fluid (m</w:t>
            </w:r>
            <w:r w:rsidRPr="00E62C70">
              <w:rPr>
                <w:vertAlign w:val="superscript"/>
                <w:lang w:eastAsia="zh-CN"/>
              </w:rPr>
              <w:t>3</w:t>
            </w:r>
            <w:r w:rsidRPr="00E62C70">
              <w:rPr>
                <w:lang w:eastAsia="zh-CN"/>
              </w:rPr>
              <w:t>/s)</w:t>
            </w:r>
          </w:p>
        </w:tc>
      </w:tr>
      <w:tr w:rsidR="00E62C70" w:rsidRPr="00E62C70" w14:paraId="12A2E84E" w14:textId="77777777" w:rsidTr="00E62C70">
        <w:trPr>
          <w:tblCellSpacing w:w="15" w:type="dxa"/>
        </w:trPr>
        <w:tc>
          <w:tcPr>
            <w:tcW w:w="650" w:type="pct"/>
            <w:shd w:val="clear" w:color="auto" w:fill="FFFFFF"/>
            <w:hideMark/>
          </w:tcPr>
          <w:p w14:paraId="72B39912" w14:textId="77777777" w:rsidR="00E62C70" w:rsidRPr="00E62C70" w:rsidRDefault="00E62C70" w:rsidP="00E62C70">
            <w:pPr>
              <w:pStyle w:val="TableContent"/>
              <w:rPr>
                <w:lang w:eastAsia="zh-CN"/>
              </w:rPr>
            </w:pPr>
            <w:r w:rsidRPr="00E62C70">
              <w:rPr>
                <w:lang w:eastAsia="zh-CN"/>
              </w:rPr>
              <w:t>P</w:t>
            </w:r>
          </w:p>
        </w:tc>
        <w:tc>
          <w:tcPr>
            <w:tcW w:w="4400" w:type="pct"/>
            <w:shd w:val="clear" w:color="auto" w:fill="FFFFFF"/>
            <w:hideMark/>
          </w:tcPr>
          <w:p w14:paraId="6F044A4A" w14:textId="77777777" w:rsidR="00E62C70" w:rsidRPr="00E62C70" w:rsidRDefault="00E62C70" w:rsidP="00E62C70">
            <w:pPr>
              <w:pStyle w:val="TableContent"/>
              <w:rPr>
                <w:lang w:eastAsia="zh-CN"/>
              </w:rPr>
            </w:pPr>
            <w:r w:rsidRPr="00E62C70">
              <w:rPr>
                <w:lang w:eastAsia="zh-CN"/>
              </w:rPr>
              <w:t xml:space="preserve">suction pressure gradient (Pa or </w:t>
            </w:r>
            <w:proofErr w:type="spellStart"/>
            <w:r w:rsidRPr="00E62C70">
              <w:rPr>
                <w:lang w:eastAsia="zh-CN"/>
              </w:rPr>
              <w:t>MPa</w:t>
            </w:r>
            <w:proofErr w:type="spellEnd"/>
            <w:r w:rsidRPr="00E62C70">
              <w:rPr>
                <w:lang w:eastAsia="zh-CN"/>
              </w:rPr>
              <w:t>)</w:t>
            </w:r>
          </w:p>
        </w:tc>
      </w:tr>
      <w:tr w:rsidR="00E62C70" w:rsidRPr="00E62C70" w14:paraId="66978580" w14:textId="77777777" w:rsidTr="00E62C70">
        <w:trPr>
          <w:tblCellSpacing w:w="15" w:type="dxa"/>
        </w:trPr>
        <w:tc>
          <w:tcPr>
            <w:tcW w:w="650" w:type="pct"/>
            <w:shd w:val="clear" w:color="auto" w:fill="FFFFFF"/>
            <w:hideMark/>
          </w:tcPr>
          <w:p w14:paraId="0EB6AFB6" w14:textId="77777777" w:rsidR="00E62C70" w:rsidRPr="00E62C70" w:rsidRDefault="00E62C70" w:rsidP="00E62C70">
            <w:pPr>
              <w:pStyle w:val="TableContent"/>
              <w:rPr>
                <w:lang w:eastAsia="zh-CN"/>
              </w:rPr>
            </w:pPr>
            <w:r w:rsidRPr="00E62C70">
              <w:rPr>
                <w:lang w:eastAsia="zh-CN"/>
              </w:rPr>
              <w:t>c</w:t>
            </w:r>
          </w:p>
        </w:tc>
        <w:tc>
          <w:tcPr>
            <w:tcW w:w="4400" w:type="pct"/>
            <w:shd w:val="clear" w:color="auto" w:fill="FFFFFF"/>
            <w:hideMark/>
          </w:tcPr>
          <w:p w14:paraId="117F9583" w14:textId="77777777" w:rsidR="00E62C70" w:rsidRPr="00E62C70" w:rsidRDefault="00E62C70" w:rsidP="00E62C70">
            <w:pPr>
              <w:pStyle w:val="TableContent"/>
              <w:rPr>
                <w:lang w:eastAsia="zh-CN"/>
              </w:rPr>
            </w:pPr>
            <w:r w:rsidRPr="00E62C70">
              <w:rPr>
                <w:lang w:eastAsia="zh-CN"/>
              </w:rPr>
              <w:t>length of food canal (m)</w:t>
            </w:r>
          </w:p>
        </w:tc>
      </w:tr>
      <w:tr w:rsidR="00E62C70" w:rsidRPr="00E62C70" w14:paraId="6ECB5BB3" w14:textId="77777777" w:rsidTr="00E62C70">
        <w:trPr>
          <w:tblCellSpacing w:w="15" w:type="dxa"/>
        </w:trPr>
        <w:tc>
          <w:tcPr>
            <w:tcW w:w="650" w:type="pct"/>
            <w:shd w:val="clear" w:color="auto" w:fill="FFFFFF"/>
            <w:hideMark/>
          </w:tcPr>
          <w:p w14:paraId="5DE96134" w14:textId="77777777" w:rsidR="00E62C70" w:rsidRPr="00E62C70" w:rsidRDefault="00E62C70" w:rsidP="00E62C70">
            <w:pPr>
              <w:pStyle w:val="TableContent"/>
              <w:rPr>
                <w:lang w:eastAsia="zh-CN"/>
              </w:rPr>
            </w:pPr>
            <w:r w:rsidRPr="00E62C70">
              <w:rPr>
                <w:lang w:eastAsia="zh-CN"/>
              </w:rPr>
              <w:t>r</w:t>
            </w:r>
          </w:p>
        </w:tc>
        <w:tc>
          <w:tcPr>
            <w:tcW w:w="4400" w:type="pct"/>
            <w:shd w:val="clear" w:color="auto" w:fill="FFFFFF"/>
            <w:hideMark/>
          </w:tcPr>
          <w:p w14:paraId="5D4302B2" w14:textId="77777777" w:rsidR="00E62C70" w:rsidRPr="00E62C70" w:rsidRDefault="00E62C70" w:rsidP="00E62C70">
            <w:pPr>
              <w:pStyle w:val="TableContent"/>
              <w:rPr>
                <w:lang w:eastAsia="zh-CN"/>
              </w:rPr>
            </w:pPr>
            <w:r w:rsidRPr="00E62C70">
              <w:rPr>
                <w:lang w:eastAsia="zh-CN"/>
              </w:rPr>
              <w:t>radius of food canal (m)</w:t>
            </w:r>
          </w:p>
        </w:tc>
      </w:tr>
      <w:tr w:rsidR="00E62C70" w:rsidRPr="00E62C70" w14:paraId="2E15DF99" w14:textId="77777777" w:rsidTr="00E62C70">
        <w:trPr>
          <w:tblCellSpacing w:w="15" w:type="dxa"/>
        </w:trPr>
        <w:tc>
          <w:tcPr>
            <w:tcW w:w="650" w:type="pct"/>
            <w:shd w:val="clear" w:color="auto" w:fill="FFFFFF"/>
            <w:hideMark/>
          </w:tcPr>
          <w:p w14:paraId="0A89D798" w14:textId="77777777" w:rsidR="00E62C70" w:rsidRPr="00E62C70" w:rsidRDefault="00E62C70" w:rsidP="00E62C70">
            <w:pPr>
              <w:pStyle w:val="TableContent"/>
              <w:rPr>
                <w:lang w:eastAsia="zh-CN"/>
              </w:rPr>
            </w:pPr>
            <w:r w:rsidRPr="00E62C70">
              <w:rPr>
                <w:lang w:eastAsia="zh-CN"/>
              </w:rPr>
              <w:t>L</w:t>
            </w:r>
          </w:p>
        </w:tc>
        <w:tc>
          <w:tcPr>
            <w:tcW w:w="4400" w:type="pct"/>
            <w:shd w:val="clear" w:color="auto" w:fill="FFFFFF"/>
            <w:hideMark/>
          </w:tcPr>
          <w:p w14:paraId="6520958B" w14:textId="77777777" w:rsidR="00E62C70" w:rsidRPr="00E62C70" w:rsidRDefault="00E62C70" w:rsidP="00E62C70">
            <w:pPr>
              <w:pStyle w:val="TableContent"/>
              <w:rPr>
                <w:lang w:eastAsia="zh-CN"/>
              </w:rPr>
            </w:pPr>
            <w:proofErr w:type="spellStart"/>
            <w:r w:rsidRPr="00E62C70">
              <w:rPr>
                <w:lang w:eastAsia="zh-CN"/>
              </w:rPr>
              <w:t>cibarial</w:t>
            </w:r>
            <w:proofErr w:type="spellEnd"/>
            <w:r w:rsidRPr="00E62C70">
              <w:rPr>
                <w:lang w:eastAsia="zh-CN"/>
              </w:rPr>
              <w:t xml:space="preserve"> pump load (s</w:t>
            </w:r>
            <w:r w:rsidRPr="00E62C70">
              <w:rPr>
                <w:vertAlign w:val="superscript"/>
                <w:lang w:eastAsia="zh-CN"/>
              </w:rPr>
              <w:t>-1</w:t>
            </w:r>
            <w:r w:rsidRPr="00E62C70">
              <w:rPr>
                <w:lang w:eastAsia="zh-CN"/>
              </w:rPr>
              <w:t>)</w:t>
            </w:r>
          </w:p>
        </w:tc>
      </w:tr>
      <w:tr w:rsidR="00E62C70" w:rsidRPr="00E62C70" w14:paraId="7E277447" w14:textId="77777777" w:rsidTr="00E62C70">
        <w:trPr>
          <w:tblCellSpacing w:w="15" w:type="dxa"/>
        </w:trPr>
        <w:tc>
          <w:tcPr>
            <w:tcW w:w="650" w:type="pct"/>
            <w:shd w:val="clear" w:color="auto" w:fill="FFFFFF"/>
            <w:hideMark/>
          </w:tcPr>
          <w:p w14:paraId="182FABDA" w14:textId="77777777" w:rsidR="00E62C70" w:rsidRPr="00E62C70" w:rsidRDefault="00E62C70" w:rsidP="00E62C70">
            <w:pPr>
              <w:pStyle w:val="TableContent"/>
              <w:rPr>
                <w:lang w:eastAsia="zh-CN"/>
              </w:rPr>
            </w:pPr>
            <w:proofErr w:type="spellStart"/>
            <w:r w:rsidRPr="00E62C70">
              <w:rPr>
                <w:lang w:eastAsia="zh-CN"/>
              </w:rPr>
              <w:t>F</w:t>
            </w:r>
            <w:r w:rsidRPr="00E62C70">
              <w:rPr>
                <w:vertAlign w:val="subscript"/>
                <w:lang w:eastAsia="zh-CN"/>
              </w:rPr>
              <w:t>v</w:t>
            </w:r>
            <w:proofErr w:type="spellEnd"/>
          </w:p>
        </w:tc>
        <w:tc>
          <w:tcPr>
            <w:tcW w:w="4400" w:type="pct"/>
            <w:shd w:val="clear" w:color="auto" w:fill="FFFFFF"/>
            <w:hideMark/>
          </w:tcPr>
          <w:p w14:paraId="77E097AB" w14:textId="77777777" w:rsidR="00E62C70" w:rsidRPr="00E62C70" w:rsidRDefault="00E62C70" w:rsidP="00E62C70">
            <w:pPr>
              <w:pStyle w:val="TableContent"/>
              <w:rPr>
                <w:lang w:eastAsia="zh-CN"/>
              </w:rPr>
            </w:pPr>
            <w:proofErr w:type="spellStart"/>
            <w:r w:rsidRPr="00E62C70">
              <w:rPr>
                <w:lang w:eastAsia="zh-CN"/>
              </w:rPr>
              <w:t>frontoclypeus</w:t>
            </w:r>
            <w:proofErr w:type="spellEnd"/>
            <w:r w:rsidRPr="00E62C70">
              <w:rPr>
                <w:lang w:eastAsia="zh-CN"/>
              </w:rPr>
              <w:t xml:space="preserve"> volume (mm</w:t>
            </w:r>
            <w:r w:rsidRPr="00E62C70">
              <w:rPr>
                <w:vertAlign w:val="superscript"/>
                <w:lang w:eastAsia="zh-CN"/>
              </w:rPr>
              <w:t>3</w:t>
            </w:r>
            <w:r w:rsidRPr="00E62C70">
              <w:rPr>
                <w:lang w:eastAsia="zh-CN"/>
              </w:rPr>
              <w:t>)</w:t>
            </w:r>
          </w:p>
        </w:tc>
      </w:tr>
    </w:tbl>
    <w:p w14:paraId="4AA4BD0E" w14:textId="77777777" w:rsidR="008E6A8B" w:rsidRPr="008E6A8B" w:rsidRDefault="008E6A8B" w:rsidP="008E6A8B"/>
    <w:p w14:paraId="2CF5A644" w14:textId="77777777" w:rsidR="00283F45" w:rsidRDefault="00283F45" w:rsidP="00283F45">
      <w:pPr>
        <w:pStyle w:val="Heading1"/>
      </w:pPr>
      <w:r>
        <w:t>Methods</w:t>
      </w:r>
    </w:p>
    <w:p w14:paraId="66F852EC" w14:textId="77777777" w:rsidR="00E6065C" w:rsidRDefault="00E6065C" w:rsidP="00E6065C">
      <w:r>
        <w:t>A biological variable is often expressed by an allometric scaling equation of the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F106E" w14:paraId="65690F1B" w14:textId="77777777" w:rsidTr="00C76D21">
        <w:tc>
          <w:tcPr>
            <w:tcW w:w="4675" w:type="dxa"/>
            <w:vAlign w:val="center"/>
          </w:tcPr>
          <w:p w14:paraId="5F9207DE" w14:textId="77777777" w:rsidR="00BF106E" w:rsidRDefault="00BF106E" w:rsidP="00C76D21">
            <w:pPr>
              <w:rPr>
                <w:lang w:eastAsia="zh-CN"/>
              </w:rPr>
            </w:pPr>
            <m:oMathPara>
              <m:oMath>
                <m:r>
                  <w:rPr>
                    <w:rFonts w:ascii="Cambria Math" w:hAnsi="Cambria Math"/>
                    <w:lang w:eastAsia="zh-CN"/>
                  </w:rPr>
                  <m:t>Y=a</m:t>
                </m:r>
                <m:sSubSup>
                  <m:sSubSupPr>
                    <m:ctrlPr>
                      <w:rPr>
                        <w:rFonts w:ascii="Cambria Math" w:hAnsi="Cambria Math"/>
                        <w:i/>
                        <w:lang w:eastAsia="zh-CN"/>
                      </w:rPr>
                    </m:ctrlPr>
                  </m:sSubSupPr>
                  <m:e>
                    <m:r>
                      <w:rPr>
                        <w:rFonts w:ascii="Cambria Math" w:hAnsi="Cambria Math"/>
                        <w:lang w:eastAsia="zh-CN"/>
                      </w:rPr>
                      <m:t>B</m:t>
                    </m:r>
                  </m:e>
                  <m:sub>
                    <m:r>
                      <w:rPr>
                        <w:rFonts w:ascii="Cambria Math" w:hAnsi="Cambria Math"/>
                        <w:lang w:eastAsia="zh-CN"/>
                      </w:rPr>
                      <m:t>r</m:t>
                    </m:r>
                  </m:sub>
                  <m:sup>
                    <m:r>
                      <w:rPr>
                        <w:rFonts w:ascii="Cambria Math" w:hAnsi="Cambria Math"/>
                        <w:lang w:eastAsia="zh-CN"/>
                      </w:rPr>
                      <m:t>b</m:t>
                    </m:r>
                  </m:sup>
                </m:sSubSup>
              </m:oMath>
            </m:oMathPara>
          </w:p>
        </w:tc>
        <w:tc>
          <w:tcPr>
            <w:tcW w:w="4675" w:type="dxa"/>
            <w:vAlign w:val="center"/>
          </w:tcPr>
          <w:p w14:paraId="0044AB37" w14:textId="77777777" w:rsidR="00BF106E" w:rsidRDefault="00BF106E" w:rsidP="00C76D21">
            <w:pPr>
              <w:rPr>
                <w:lang w:eastAsia="zh-CN"/>
              </w:rPr>
            </w:pPr>
            <w:r>
              <w:rPr>
                <w:lang w:eastAsia="zh-CN"/>
              </w:rPr>
              <w:t xml:space="preserve">LaTeX Code: </w:t>
            </w:r>
            <w:proofErr w:type="gramStart"/>
            <w:r>
              <w:rPr>
                <w:lang w:eastAsia="zh-CN"/>
              </w:rPr>
              <w:t>\[</w:t>
            </w:r>
            <w:proofErr w:type="gramEnd"/>
            <w:r>
              <w:rPr>
                <w:lang w:eastAsia="zh-CN"/>
              </w:rPr>
              <w:t xml:space="preserve"> Y = </w:t>
            </w:r>
            <w:proofErr w:type="spellStart"/>
            <w:r>
              <w:rPr>
                <w:lang w:eastAsia="zh-CN"/>
              </w:rPr>
              <w:t>aB_r^b</w:t>
            </w:r>
            <w:proofErr w:type="spellEnd"/>
            <w:r>
              <w:rPr>
                <w:lang w:eastAsia="zh-CN"/>
              </w:rPr>
              <w:t xml:space="preserve"> \]</w:t>
            </w:r>
          </w:p>
        </w:tc>
      </w:tr>
    </w:tbl>
    <w:p w14:paraId="0A756C82" w14:textId="77777777" w:rsidR="00E6065C" w:rsidRDefault="00E6065C" w:rsidP="00E6065C">
      <w:r>
        <w:t>where Y can be any biological variable (such as metabolic rates or cross-sectional areas of tree trunks),</w:t>
      </w:r>
      <w:r w:rsidR="00183B75">
        <w:t xml:space="preserve"> </w:t>
      </w:r>
      <w:r>
        <w:rPr>
          <w:i/>
          <w:iCs/>
        </w:rPr>
        <w:t>a</w:t>
      </w:r>
      <w:r w:rsidR="00183B75">
        <w:t xml:space="preserve"> </w:t>
      </w:r>
      <w:r>
        <w:t>is a constant called the proportionality coefficient,</w:t>
      </w:r>
      <w:r w:rsidR="008B623B">
        <w:t xml:space="preserve"> </w:t>
      </w:r>
      <w:r>
        <w:rPr>
          <w:i/>
          <w:iCs/>
        </w:rPr>
        <w:t>b</w:t>
      </w:r>
      <w:r w:rsidR="008B623B">
        <w:t xml:space="preserve"> </w:t>
      </w:r>
      <w:r>
        <w:t>is the scaling exponent (which is equal to the slope of the line of the equation when plotted on logarithmic coordinates), and the last term often is some index of organism size such as body volume (</w:t>
      </w:r>
      <w:proofErr w:type="spellStart"/>
      <w:r>
        <w:rPr>
          <w:i/>
          <w:iCs/>
        </w:rPr>
        <w:t>B</w:t>
      </w:r>
      <w:r>
        <w:rPr>
          <w:i/>
          <w:iCs/>
          <w:vertAlign w:val="subscript"/>
        </w:rPr>
        <w:t>v</w:t>
      </w:r>
      <w:proofErr w:type="spellEnd"/>
      <w:r w:rsidR="00750407">
        <w:t xml:space="preserve"> </w:t>
      </w:r>
      <w:r>
        <w:t>in this case) or body mass (</w:t>
      </w:r>
      <w:r>
        <w:rPr>
          <w:i/>
          <w:iCs/>
        </w:rPr>
        <w:t>M</w:t>
      </w:r>
      <w:r>
        <w:t>). A well-known allometric equation relates metabolic rate to body mass:</w:t>
      </w:r>
      <w:r w:rsidR="004449A3">
        <w:t xml:space="preserve"> </w:t>
      </w:r>
      <w:r>
        <w:rPr>
          <w:i/>
          <w:iCs/>
        </w:rPr>
        <w:t>Y</w:t>
      </w:r>
      <w:r w:rsidR="004449A3">
        <w:t xml:space="preserve"> </w:t>
      </w:r>
      <w:r>
        <w:t>=</w:t>
      </w:r>
      <w:r w:rsidR="004449A3">
        <w:t xml:space="preserve"> </w:t>
      </w:r>
      <w:r>
        <w:rPr>
          <w:i/>
          <w:iCs/>
        </w:rPr>
        <w:t>aM</w:t>
      </w:r>
      <w:r>
        <w:rPr>
          <w:vertAlign w:val="superscript"/>
        </w:rPr>
        <w:t>3/4</w:t>
      </w:r>
      <w:r>
        <w:t>. The value of the proportionality coefficient (</w:t>
      </w:r>
      <w:r>
        <w:rPr>
          <w:i/>
          <w:iCs/>
        </w:rPr>
        <w:t>a</w:t>
      </w:r>
      <w:r>
        <w:t>) depends on the kind of organism.</w:t>
      </w:r>
    </w:p>
    <w:p w14:paraId="55D07617" w14:textId="77777777" w:rsidR="00E6065C" w:rsidRDefault="00E6065C" w:rsidP="00E6065C">
      <w:r>
        <w:lastRenderedPageBreak/>
        <w:t>The body size distributions of xylem-sucking insects (</w:t>
      </w:r>
      <w:proofErr w:type="spellStart"/>
      <w:r>
        <w:t>Auchenorrhyncha</w:t>
      </w:r>
      <w:proofErr w:type="spellEnd"/>
      <w:r>
        <w:t xml:space="preserve">, Hemiptera) indicate that xylem feeders tend to be larger than either phloem or mesophyll cell feeders. The feeding structures in these insects (food canal and </w:t>
      </w:r>
      <w:proofErr w:type="spellStart"/>
      <w:r>
        <w:t>cibarial</w:t>
      </w:r>
      <w:proofErr w:type="spellEnd"/>
      <w:r>
        <w:t xml:space="preserve"> pump) change more or less in equal proportion (isometrically) with body volume, rather than allometrically (Novotny &amp; Wilson, 1997). However, metabolic rate is known to be</w:t>
      </w:r>
      <w:r w:rsidR="004817D7">
        <w:t xml:space="preserve"> </w:t>
      </w:r>
      <w:r>
        <w:rPr>
          <w:i/>
          <w:iCs/>
        </w:rPr>
        <w:t>relatively</w:t>
      </w:r>
      <w:r w:rsidR="004817D7">
        <w:t xml:space="preserve"> </w:t>
      </w:r>
      <w:r>
        <w:t>higher in smaller animals. Novotny and Wilson hypothesize that, given the low nutrient content of xylem and the increase in suction pressures needed to extract it as feeding apparatus size decreases, there is an allometric change in the energetic costs of xylem feeding. In other words, there is a relatively higher energetic cost for smaller animals because a) they have to expend relatively more energy extracting xylem due to the size of their feeding structures, and b) they have to extract relatively more xylem because of their high metabolic rates. This leads to an allometric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76A9" w14:paraId="2E478FF0" w14:textId="77777777" w:rsidTr="00181779">
        <w:tc>
          <w:tcPr>
            <w:tcW w:w="4675" w:type="dxa"/>
            <w:vAlign w:val="center"/>
          </w:tcPr>
          <w:p w14:paraId="394F3968" w14:textId="77777777" w:rsidR="000776A9" w:rsidRDefault="003D71BC" w:rsidP="00181779">
            <m:oMathPara>
              <m:oMath>
                <m:sSub>
                  <m:sSubPr>
                    <m:ctrlPr>
                      <w:rPr>
                        <w:rFonts w:ascii="Cambria Math" w:hAnsi="Cambria Math"/>
                        <w:i/>
                      </w:rPr>
                    </m:ctrlPr>
                  </m:sSubPr>
                  <m:e>
                    <m:r>
                      <w:rPr>
                        <w:rFonts w:ascii="Cambria Math" w:hAnsi="Cambria Math"/>
                      </w:rPr>
                      <m:t>X</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X</m:t>
                    </m:r>
                  </m:sub>
                </m:sSub>
                <m:sSubSup>
                  <m:sSubSupPr>
                    <m:ctrlPr>
                      <w:rPr>
                        <w:rFonts w:ascii="Cambria Math" w:hAnsi="Cambria Math"/>
                        <w:i/>
                      </w:rPr>
                    </m:ctrlPr>
                  </m:sSubSupPr>
                  <m:e>
                    <m:r>
                      <w:rPr>
                        <w:rFonts w:ascii="Cambria Math" w:hAnsi="Cambria Math"/>
                      </w:rPr>
                      <m:t>B</m:t>
                    </m:r>
                  </m:e>
                  <m:sub>
                    <m:r>
                      <w:rPr>
                        <w:rFonts w:ascii="Cambria Math" w:hAnsi="Cambria Math"/>
                      </w:rPr>
                      <m:t>v</m:t>
                    </m:r>
                  </m:sub>
                  <m:sup>
                    <m:f>
                      <m:fPr>
                        <m:ctrlPr>
                          <w:rPr>
                            <w:rFonts w:ascii="Cambria Math" w:hAnsi="Cambria Math"/>
                            <w:i/>
                          </w:rPr>
                        </m:ctrlPr>
                      </m:fPr>
                      <m:num>
                        <m:r>
                          <w:rPr>
                            <w:rFonts w:ascii="Cambria Math" w:hAnsi="Cambria Math"/>
                          </w:rPr>
                          <m:t>3</m:t>
                        </m:r>
                      </m:num>
                      <m:den>
                        <m:r>
                          <w:rPr>
                            <w:rFonts w:ascii="Cambria Math" w:hAnsi="Cambria Math"/>
                          </w:rPr>
                          <m:t>4</m:t>
                        </m:r>
                      </m:den>
                    </m:f>
                  </m:sup>
                </m:sSubSup>
              </m:oMath>
            </m:oMathPara>
          </w:p>
        </w:tc>
        <w:tc>
          <w:tcPr>
            <w:tcW w:w="4675" w:type="dxa"/>
            <w:vAlign w:val="center"/>
          </w:tcPr>
          <w:p w14:paraId="2F5A1796" w14:textId="77777777" w:rsidR="000776A9" w:rsidRDefault="000776A9" w:rsidP="00181779">
            <w:r>
              <w:t xml:space="preserve">LaTeX Code: </w:t>
            </w:r>
            <w:proofErr w:type="gramStart"/>
            <w:r>
              <w:t>\[</w:t>
            </w:r>
            <w:proofErr w:type="gramEnd"/>
            <w:r>
              <w:t xml:space="preserve"> </w:t>
            </w:r>
            <w:proofErr w:type="spellStart"/>
            <w:r>
              <w:t>X_v</w:t>
            </w:r>
            <w:proofErr w:type="spellEnd"/>
            <w:r>
              <w:t xml:space="preserve"> = </w:t>
            </w:r>
            <w:proofErr w:type="spellStart"/>
            <w:r>
              <w:t>a_X</w:t>
            </w:r>
            <w:proofErr w:type="spellEnd"/>
            <w:r>
              <w:t xml:space="preserve"> </w:t>
            </w:r>
            <w:proofErr w:type="spellStart"/>
            <w:r>
              <w:t>B_v</w:t>
            </w:r>
            <w:proofErr w:type="spellEnd"/>
            <w:r>
              <w:t>^{</w:t>
            </w:r>
            <w:r w:rsidR="009A08A5">
              <w:t>\frac{3}{4}</w:t>
            </w:r>
            <w:r>
              <w:t>} \]</w:t>
            </w:r>
          </w:p>
        </w:tc>
      </w:tr>
    </w:tbl>
    <w:p w14:paraId="0A69B7BE" w14:textId="77777777" w:rsidR="00E6065C" w:rsidRDefault="00E6065C" w:rsidP="00E6065C">
      <w:r>
        <w:t>in which the volume flow of xylem fluid (</w:t>
      </w:r>
      <w:r>
        <w:rPr>
          <w:i/>
          <w:iCs/>
        </w:rPr>
        <w:t>X</w:t>
      </w:r>
      <w:r>
        <w:rPr>
          <w:i/>
          <w:iCs/>
          <w:vertAlign w:val="subscript"/>
        </w:rPr>
        <w:t>v</w:t>
      </w:r>
      <w:r>
        <w:t>) is assumed to be proportional to metabolic rate (i.e., the percentage of energy from xylem that becomes available to the insect is independent of body size). The authors then derived the following equation to describe the allometric relationship between the suction pressure gradient (</w:t>
      </w:r>
      <w:r>
        <w:rPr>
          <w:i/>
          <w:iCs/>
        </w:rPr>
        <w:t>P</w:t>
      </w:r>
      <w:r>
        <w:t>) necessary to cause a given volume flow through the food canal and body volume (</w:t>
      </w:r>
      <w:proofErr w:type="spellStart"/>
      <w:r>
        <w:rPr>
          <w:i/>
          <w:iCs/>
        </w:rPr>
        <w:t>B</w:t>
      </w:r>
      <w:r>
        <w:rPr>
          <w:i/>
          <w:iCs/>
          <w:vertAlign w:val="subscript"/>
        </w:rPr>
        <w:t>v</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08A5" w14:paraId="7445267B" w14:textId="77777777" w:rsidTr="003545F2">
        <w:tc>
          <w:tcPr>
            <w:tcW w:w="4675" w:type="dxa"/>
            <w:vAlign w:val="center"/>
          </w:tcPr>
          <w:p w14:paraId="14BAA76D" w14:textId="77777777" w:rsidR="009A08A5" w:rsidRDefault="009A08A5" w:rsidP="003545F2">
            <m:oMathPara>
              <m:oMath>
                <m:r>
                  <w:rPr>
                    <w:rFonts w:ascii="Cambria Math" w:hAnsi="Cambria Math"/>
                  </w:rPr>
                  <m:t>P=</m:t>
                </m:r>
                <m:sSub>
                  <m:sSubPr>
                    <m:ctrlPr>
                      <w:rPr>
                        <w:rFonts w:ascii="Cambria Math" w:hAnsi="Cambria Math"/>
                        <w:i/>
                      </w:rPr>
                    </m:ctrlPr>
                  </m:sSubPr>
                  <m:e>
                    <m:r>
                      <w:rPr>
                        <w:rFonts w:ascii="Cambria Math" w:hAnsi="Cambria Math"/>
                      </w:rPr>
                      <m:t>a</m:t>
                    </m:r>
                  </m:e>
                  <m:sub>
                    <m:r>
                      <w:rPr>
                        <w:rFonts w:ascii="Cambria Math" w:hAnsi="Cambria Math"/>
                      </w:rPr>
                      <m:t>P</m:t>
                    </m:r>
                  </m:sub>
                </m:sSub>
                <m:sSubSup>
                  <m:sSubSupPr>
                    <m:ctrlPr>
                      <w:rPr>
                        <w:rFonts w:ascii="Cambria Math" w:hAnsi="Cambria Math"/>
                        <w:i/>
                      </w:rPr>
                    </m:ctrlPr>
                  </m:sSubSupPr>
                  <m:e>
                    <m:r>
                      <w:rPr>
                        <w:rFonts w:ascii="Cambria Math" w:hAnsi="Cambria Math"/>
                      </w:rPr>
                      <m:t>B</m:t>
                    </m:r>
                  </m:e>
                  <m:sub>
                    <m:r>
                      <w:rPr>
                        <w:rFonts w:ascii="Cambria Math" w:hAnsi="Cambria Math"/>
                      </w:rPr>
                      <m:t>v</m:t>
                    </m:r>
                  </m:sub>
                  <m:sup>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+c-4r</m:t>
                    </m:r>
                  </m:sup>
                </m:sSubSup>
              </m:oMath>
            </m:oMathPara>
          </w:p>
        </w:tc>
        <w:tc>
          <w:tcPr>
            <w:tcW w:w="4675" w:type="dxa"/>
            <w:vAlign w:val="center"/>
          </w:tcPr>
          <w:p w14:paraId="57B5CB4D" w14:textId="77777777" w:rsidR="009A08A5" w:rsidRDefault="009A08A5" w:rsidP="003545F2">
            <w:r>
              <w:t xml:space="preserve">LaTeX Code: </w:t>
            </w:r>
            <w:proofErr w:type="gramStart"/>
            <w:r>
              <w:t>\[</w:t>
            </w:r>
            <w:proofErr w:type="gramEnd"/>
            <w:r>
              <w:t xml:space="preserve"> </w:t>
            </w:r>
            <w:r w:rsidR="00ED1CE9">
              <w:t>P</w:t>
            </w:r>
            <w:r>
              <w:t xml:space="preserve"> = </w:t>
            </w:r>
            <w:proofErr w:type="spellStart"/>
            <w:r>
              <w:t>a_</w:t>
            </w:r>
            <w:r w:rsidR="00426717">
              <w:t>P</w:t>
            </w:r>
            <w:proofErr w:type="spellEnd"/>
            <w:r>
              <w:t xml:space="preserve"> </w:t>
            </w:r>
            <w:proofErr w:type="spellStart"/>
            <w:r>
              <w:t>B_v</w:t>
            </w:r>
            <w:proofErr w:type="spellEnd"/>
            <w:r>
              <w:t>^{</w:t>
            </w:r>
            <w:r w:rsidR="00426717">
              <w:t>\frac{3}{4} + c - 4r</w:t>
            </w:r>
            <w:r>
              <w:t>} \]</w:t>
            </w:r>
          </w:p>
        </w:tc>
      </w:tr>
    </w:tbl>
    <w:p w14:paraId="1BE230E6" w14:textId="77777777" w:rsidR="00E6065C" w:rsidRDefault="00E6065C" w:rsidP="00E6065C">
      <w:r>
        <w:t>where</w:t>
      </w:r>
      <w:r w:rsidR="00E74581">
        <w:t xml:space="preserve"> </w:t>
      </w:r>
      <w:r>
        <w:rPr>
          <w:i/>
          <w:iCs/>
        </w:rPr>
        <w:t>P</w:t>
      </w:r>
      <w:r w:rsidR="00E74581">
        <w:t xml:space="preserve"> </w:t>
      </w:r>
      <w:r>
        <w:t>is the pressure gradient (measured in Pascals [Pa]),</w:t>
      </w:r>
      <w:r w:rsidR="004513F8">
        <w:t xml:space="preserve"> </w:t>
      </w:r>
      <w:proofErr w:type="spellStart"/>
      <w:r>
        <w:rPr>
          <w:i/>
          <w:iCs/>
        </w:rPr>
        <w:t>a</w:t>
      </w:r>
      <w:r>
        <w:rPr>
          <w:i/>
          <w:iCs/>
          <w:vertAlign w:val="subscript"/>
        </w:rPr>
        <w:t>P</w:t>
      </w:r>
      <w:proofErr w:type="spellEnd"/>
      <w:r w:rsidR="004513F8">
        <w:t xml:space="preserve"> </w:t>
      </w:r>
      <w:r>
        <w:t>is a constant,</w:t>
      </w:r>
      <w:r w:rsidR="00B6025F">
        <w:t xml:space="preserve"> </w:t>
      </w:r>
      <w:proofErr w:type="spellStart"/>
      <w:r>
        <w:rPr>
          <w:i/>
          <w:iCs/>
        </w:rPr>
        <w:t>B</w:t>
      </w:r>
      <w:r>
        <w:rPr>
          <w:i/>
          <w:iCs/>
          <w:vertAlign w:val="subscript"/>
        </w:rPr>
        <w:t>v</w:t>
      </w:r>
      <w:proofErr w:type="spellEnd"/>
      <w:r w:rsidR="00B6025F">
        <w:t xml:space="preserve"> </w:t>
      </w:r>
      <w:r>
        <w:t>is body volume (in mm</w:t>
      </w:r>
      <w:r>
        <w:rPr>
          <w:vertAlign w:val="superscript"/>
        </w:rPr>
        <w:t>3</w:t>
      </w:r>
      <w:r>
        <w:t>),</w:t>
      </w:r>
      <w:r w:rsidR="0078736C">
        <w:t xml:space="preserve"> </w:t>
      </w:r>
      <w:r>
        <w:rPr>
          <w:i/>
          <w:iCs/>
        </w:rPr>
        <w:t>c</w:t>
      </w:r>
      <w:r w:rsidR="0078736C">
        <w:t xml:space="preserve"> </w:t>
      </w:r>
      <w:r>
        <w:t>is the length of the food canal (in m), and</w:t>
      </w:r>
      <w:r w:rsidR="00B6025F">
        <w:t xml:space="preserve"> </w:t>
      </w:r>
      <w:r>
        <w:rPr>
          <w:i/>
          <w:iCs/>
        </w:rPr>
        <w:t>r</w:t>
      </w:r>
      <w:r w:rsidR="00B6025F">
        <w:t xml:space="preserve"> </w:t>
      </w:r>
      <w:r>
        <w:t>is the radius of the food canal (in m). This relationship indicates that smaller species must generate relatively higher pressures to draw xylem fluid into the feeding canal.</w:t>
      </w:r>
    </w:p>
    <w:p w14:paraId="4F7AB6E7" w14:textId="77777777" w:rsidR="00E6065C" w:rsidRDefault="00E6065C" w:rsidP="00E6065C">
      <w:r>
        <w:t xml:space="preserve">The authors also used </w:t>
      </w:r>
      <w:proofErr w:type="spellStart"/>
      <w:r>
        <w:t>cibarial</w:t>
      </w:r>
      <w:proofErr w:type="spellEnd"/>
      <w:r>
        <w:t xml:space="preserve"> pump load to quantify energetic costs associated with feeding. The </w:t>
      </w:r>
      <w:proofErr w:type="spellStart"/>
      <w:r>
        <w:t>cibarium</w:t>
      </w:r>
      <w:proofErr w:type="spellEnd"/>
      <w:r>
        <w:t xml:space="preserve"> is the preoral cavity formed by the mouthparts; in sucking insects it is often modified to form a pump. The muscle volume of this pump, which is directly proportional to the work generated by muscle contraction, was approximated by the </w:t>
      </w:r>
      <w:proofErr w:type="spellStart"/>
      <w:r>
        <w:t>frontoclypeus</w:t>
      </w:r>
      <w:proofErr w:type="spellEnd"/>
      <w:r>
        <w:t xml:space="preserve"> volume,</w:t>
      </w:r>
      <w:r w:rsidR="00430C1E">
        <w:t xml:space="preserve"> </w:t>
      </w:r>
      <w:proofErr w:type="spellStart"/>
      <w:r>
        <w:rPr>
          <w:i/>
          <w:iCs/>
        </w:rPr>
        <w:t>F</w:t>
      </w:r>
      <w:r>
        <w:rPr>
          <w:i/>
          <w:iCs/>
          <w:vertAlign w:val="subscript"/>
        </w:rPr>
        <w:t>v</w:t>
      </w:r>
      <w:proofErr w:type="spellEnd"/>
      <w:r w:rsidR="00430C1E">
        <w:t xml:space="preserve"> </w:t>
      </w:r>
      <w:r>
        <w:t>(mm</w:t>
      </w:r>
      <w:r>
        <w:rPr>
          <w:vertAlign w:val="superscript"/>
        </w:rPr>
        <w:t>3</w:t>
      </w:r>
      <w:r>
        <w:t>). The ratio between the volume flow of xylem fluid (</w:t>
      </w:r>
      <w:r>
        <w:rPr>
          <w:i/>
          <w:iCs/>
        </w:rPr>
        <w:t>X</w:t>
      </w:r>
      <w:r>
        <w:rPr>
          <w:i/>
          <w:iCs/>
          <w:vertAlign w:val="subscript"/>
        </w:rPr>
        <w:t>v</w:t>
      </w:r>
      <w:r>
        <w:t xml:space="preserve">) and the </w:t>
      </w:r>
      <w:proofErr w:type="spellStart"/>
      <w:r>
        <w:t>frontoclypeus</w:t>
      </w:r>
      <w:proofErr w:type="spellEnd"/>
      <w:r>
        <w:t xml:space="preserve"> volume is the </w:t>
      </w:r>
      <w:proofErr w:type="spellStart"/>
      <w:r>
        <w:t>cibarial</w:t>
      </w:r>
      <w:proofErr w:type="spellEnd"/>
      <w:r>
        <w:t xml:space="preserve"> pump load: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E1CF7" w14:paraId="1F2D0E30" w14:textId="77777777" w:rsidTr="00EE1CF7">
        <w:tc>
          <w:tcPr>
            <w:tcW w:w="4675" w:type="dxa"/>
            <w:vAlign w:val="center"/>
          </w:tcPr>
          <w:p w14:paraId="31C7A378" w14:textId="77777777" w:rsidR="00EE1CF7" w:rsidRDefault="00EE1CF7" w:rsidP="00EE1CF7">
            <m:oMathPara>
              <m:oMath>
                <m:r>
                  <w:rPr>
                    <w:rFonts w:ascii="Cambria Math" w:hAnsi="Cambria Math"/>
                  </w:rPr>
                  <m:t>L=</m:t>
                </m:r>
                <m:f>
                  <m:fPr>
                    <m:type m:val="lin"/>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v</m:t>
                        </m:r>
                      </m:sub>
                    </m:sSub>
                  </m:num>
                  <m:den>
                    <m:sSub>
                      <m:sSubPr>
                        <m:ctrlPr>
                          <w:rPr>
                            <w:rFonts w:ascii="Cambria Math" w:hAnsi="Cambria Math"/>
                            <w:i/>
                          </w:rPr>
                        </m:ctrlPr>
                      </m:sSubPr>
                      <m:e>
                        <m:r>
                          <w:rPr>
                            <w:rFonts w:ascii="Cambria Math" w:hAnsi="Cambria Math"/>
                          </w:rPr>
                          <m:t>F</m:t>
                        </m:r>
                      </m:e>
                      <m:sub>
                        <m:r>
                          <w:rPr>
                            <w:rFonts w:ascii="Cambria Math" w:hAnsi="Cambria Math"/>
                          </w:rPr>
                          <m:t>v</m:t>
                        </m:r>
                      </m:sub>
                    </m:sSub>
                  </m:den>
                </m:f>
              </m:oMath>
            </m:oMathPara>
          </w:p>
        </w:tc>
        <w:tc>
          <w:tcPr>
            <w:tcW w:w="4675" w:type="dxa"/>
            <w:vAlign w:val="center"/>
          </w:tcPr>
          <w:p w14:paraId="52D70D7B" w14:textId="77777777" w:rsidR="00EE1CF7" w:rsidRDefault="00EE1CF7" w:rsidP="00EE1CF7">
            <w:r>
              <w:t xml:space="preserve">LaTeX Code: </w:t>
            </w:r>
            <w:proofErr w:type="gramStart"/>
            <w:r>
              <w:t>\[</w:t>
            </w:r>
            <w:proofErr w:type="gramEnd"/>
            <w:r>
              <w:t xml:space="preserve"> L = </w:t>
            </w:r>
            <w:proofErr w:type="spellStart"/>
            <w:r>
              <w:t>X_v</w:t>
            </w:r>
            <w:proofErr w:type="spellEnd"/>
            <w:r>
              <w:t xml:space="preserve"> / </w:t>
            </w:r>
            <w:proofErr w:type="spellStart"/>
            <w:r>
              <w:t>F_v</w:t>
            </w:r>
            <w:proofErr w:type="spellEnd"/>
            <w:r>
              <w:t xml:space="preserve"> \]</w:t>
            </w:r>
          </w:p>
        </w:tc>
      </w:tr>
    </w:tbl>
    <w:p w14:paraId="1E860D7F" w14:textId="77777777" w:rsidR="00E6065C" w:rsidRDefault="00E6065C" w:rsidP="00E6065C">
      <w:r>
        <w:t>We can see from this equation that for a given volume flow of xylem fluid (</w:t>
      </w:r>
      <w:r>
        <w:rPr>
          <w:i/>
          <w:iCs/>
        </w:rPr>
        <w:t>X</w:t>
      </w:r>
      <w:r>
        <w:rPr>
          <w:i/>
          <w:iCs/>
          <w:vertAlign w:val="subscript"/>
        </w:rPr>
        <w:t>v</w:t>
      </w:r>
      <w:r>
        <w:t xml:space="preserve">), </w:t>
      </w:r>
      <w:proofErr w:type="spellStart"/>
      <w:r>
        <w:t>cibarial</w:t>
      </w:r>
      <w:proofErr w:type="spellEnd"/>
      <w:r>
        <w:t xml:space="preserve"> pump load (</w:t>
      </w:r>
      <w:r>
        <w:rPr>
          <w:i/>
          <w:iCs/>
        </w:rPr>
        <w:t>L</w:t>
      </w:r>
      <w:r>
        <w:t xml:space="preserve">) increases as </w:t>
      </w:r>
      <w:proofErr w:type="spellStart"/>
      <w:r>
        <w:t>frontoclypeus</w:t>
      </w:r>
      <w:proofErr w:type="spellEnd"/>
      <w:r>
        <w:t xml:space="preserve"> volume (</w:t>
      </w:r>
      <w:proofErr w:type="spellStart"/>
      <w:r>
        <w:rPr>
          <w:i/>
          <w:iCs/>
        </w:rPr>
        <w:t>F</w:t>
      </w:r>
      <w:r>
        <w:rPr>
          <w:i/>
          <w:iCs/>
          <w:vertAlign w:val="subscript"/>
        </w:rPr>
        <w:t>v</w:t>
      </w:r>
      <w:proofErr w:type="spellEnd"/>
      <w:r>
        <w:t xml:space="preserve">) decreases. For smaller species, then, the </w:t>
      </w:r>
      <w:proofErr w:type="spellStart"/>
      <w:r>
        <w:t>cibarial</w:t>
      </w:r>
      <w:proofErr w:type="spellEnd"/>
      <w:r>
        <w:t xml:space="preserve"> pump load is higher.</w:t>
      </w:r>
    </w:p>
    <w:p w14:paraId="17C0949C" w14:textId="77777777" w:rsidR="00E6065C" w:rsidRDefault="00E6065C" w:rsidP="00E6065C">
      <w:r>
        <w:lastRenderedPageBreak/>
        <w:t>The graph below shows the relationships between the log</w:t>
      </w:r>
      <w:r>
        <w:rPr>
          <w:vertAlign w:val="subscript"/>
        </w:rPr>
        <w:t>10</w:t>
      </w:r>
      <w:r w:rsidR="0007074E">
        <w:t xml:space="preserve"> </w:t>
      </w:r>
      <w:r>
        <w:t>of body volume (in mm</w:t>
      </w:r>
      <w:r>
        <w:rPr>
          <w:vertAlign w:val="superscript"/>
        </w:rPr>
        <w:t>3</w:t>
      </w:r>
      <w:r>
        <w:t>) and sucking pressure,</w:t>
      </w:r>
      <w:r w:rsidR="00E3792A">
        <w:t xml:space="preserve"> </w:t>
      </w:r>
      <w:r>
        <w:rPr>
          <w:i/>
          <w:iCs/>
        </w:rPr>
        <w:t>P</w:t>
      </w:r>
      <w:r>
        <w:t xml:space="preserve">, on the left axis (in megapascal or </w:t>
      </w:r>
      <w:proofErr w:type="spellStart"/>
      <w:r>
        <w:t>MPa</w:t>
      </w:r>
      <w:proofErr w:type="spellEnd"/>
      <w:r>
        <w:t xml:space="preserve">) and </w:t>
      </w:r>
      <w:proofErr w:type="spellStart"/>
      <w:r>
        <w:t>cibarial</w:t>
      </w:r>
      <w:proofErr w:type="spellEnd"/>
      <w:r>
        <w:t xml:space="preserve"> pump load,</w:t>
      </w:r>
      <w:r w:rsidR="002351AD">
        <w:t xml:space="preserve"> </w:t>
      </w:r>
      <w:r>
        <w:rPr>
          <w:i/>
          <w:iCs/>
        </w:rPr>
        <w:t>L</w:t>
      </w:r>
      <w:r>
        <w:t>, on the right axis (</w:t>
      </w:r>
      <w:r>
        <w:rPr>
          <w:i/>
          <w:iCs/>
        </w:rPr>
        <w:t>L</w:t>
      </w:r>
      <w:r w:rsidR="0007074E">
        <w:t xml:space="preserve"> </w:t>
      </w:r>
      <w:r>
        <w:t>is given as a per-second (s</w:t>
      </w:r>
      <w:r>
        <w:rPr>
          <w:vertAlign w:val="superscript"/>
        </w:rPr>
        <w:t>-1</w:t>
      </w:r>
      <w:r>
        <w:t>) value, since it is a ratio with units [mm</w:t>
      </w:r>
      <w:r>
        <w:rPr>
          <w:vertAlign w:val="superscript"/>
        </w:rPr>
        <w:t>3</w:t>
      </w:r>
      <w:r>
        <w:t>/s]/[mm</w:t>
      </w:r>
      <w:r>
        <w:rPr>
          <w:vertAlign w:val="superscript"/>
        </w:rPr>
        <w:t>3</w:t>
      </w:r>
      <w:r>
        <w:t>]). (Graph redrawn from Novotny &amp; Wilson, 1997).</w:t>
      </w:r>
    </w:p>
    <w:p w14:paraId="5211E57C" w14:textId="77777777" w:rsidR="00E6065C" w:rsidRDefault="00E6065C" w:rsidP="00D03DDC">
      <w:pPr>
        <w:jc w:val="center"/>
      </w:pPr>
      <w:r>
        <w:fldChar w:fldCharType="begin"/>
      </w:r>
      <w:r>
        <w:instrText xml:space="preserve"> INCLUDEPICTURE "http://www.tiem.utk.edu/~gross/bioed/bealsmodules/allometry.gph2.gif" \* MERGEFORMATINET </w:instrText>
      </w:r>
      <w:r>
        <w:fldChar w:fldCharType="separate"/>
      </w:r>
      <w:r>
        <w:rPr>
          <w:noProof/>
        </w:rPr>
        <w:drawing>
          <wp:inline distT="0" distB="0" distL="0" distR="0" wp14:anchorId="7F43A240" wp14:editId="60B46131">
            <wp:extent cx="3657600" cy="2881923"/>
            <wp:effectExtent l="0" t="0" r="0" b="0"/>
            <wp:docPr id="2" name="Picture 2" descr="http://www.tiem.utk.edu/~gross/bioed/bealsmodules/allometry.gp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iem.utk.edu/~gross/bioed/bealsmodules/allometry.gph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881923"/>
                    </a:xfrm>
                    <a:prstGeom prst="rect">
                      <a:avLst/>
                    </a:prstGeom>
                    <a:noFill/>
                    <a:ln>
                      <a:noFill/>
                    </a:ln>
                  </pic:spPr>
                </pic:pic>
              </a:graphicData>
            </a:graphic>
          </wp:inline>
        </w:drawing>
      </w:r>
      <w:r>
        <w:fldChar w:fldCharType="end"/>
      </w:r>
    </w:p>
    <w:p w14:paraId="139DA476" w14:textId="77777777" w:rsidR="008E6A8B" w:rsidRPr="008E6A8B" w:rsidRDefault="00E6065C" w:rsidP="008E6A8B">
      <w:r>
        <w:t>The regression equations for the two lines are</w:t>
      </w:r>
      <w:r w:rsidR="00356D6D">
        <w:t xml:space="preserve"> </w:t>
      </w:r>
      <w:r>
        <w:rPr>
          <w:i/>
          <w:iCs/>
        </w:rPr>
        <w:t>P</w:t>
      </w:r>
      <w:r>
        <w:t>= 0.25</w:t>
      </w:r>
      <w:r>
        <w:rPr>
          <w:i/>
          <w:iCs/>
        </w:rPr>
        <w:t>B</w:t>
      </w:r>
      <w:r>
        <w:rPr>
          <w:i/>
          <w:iCs/>
          <w:vertAlign w:val="subscript"/>
        </w:rPr>
        <w:t>v</w:t>
      </w:r>
      <w:r>
        <w:rPr>
          <w:vertAlign w:val="superscript"/>
        </w:rPr>
        <w:t>-0.21</w:t>
      </w:r>
      <w:r w:rsidR="00356D6D">
        <w:t xml:space="preserve"> </w:t>
      </w:r>
      <w:r>
        <w:t>and</w:t>
      </w:r>
      <w:r w:rsidR="00356D6D">
        <w:t xml:space="preserve"> </w:t>
      </w:r>
      <w:r>
        <w:rPr>
          <w:i/>
          <w:iCs/>
        </w:rPr>
        <w:t>L</w:t>
      </w:r>
      <w:r w:rsidR="00356D6D">
        <w:t xml:space="preserve"> </w:t>
      </w:r>
      <w:r>
        <w:t>= 0.73</w:t>
      </w:r>
      <w:r>
        <w:rPr>
          <w:i/>
          <w:iCs/>
        </w:rPr>
        <w:t>B</w:t>
      </w:r>
      <w:r>
        <w:rPr>
          <w:i/>
          <w:iCs/>
          <w:vertAlign w:val="subscript"/>
        </w:rPr>
        <w:t>v</w:t>
      </w:r>
      <w:r>
        <w:rPr>
          <w:vertAlign w:val="superscript"/>
        </w:rPr>
        <w:t>-0.17</w:t>
      </w:r>
      <w:r>
        <w:t>.</w:t>
      </w:r>
    </w:p>
    <w:p w14:paraId="21BAF140" w14:textId="77777777" w:rsidR="00283F45" w:rsidRDefault="00283F45" w:rsidP="00283F45">
      <w:pPr>
        <w:pStyle w:val="Heading1"/>
      </w:pPr>
      <w:r w:rsidRPr="00283F45">
        <w:t>Interpretation</w:t>
      </w:r>
    </w:p>
    <w:p w14:paraId="1BC5E870" w14:textId="77777777" w:rsidR="008E6A8B" w:rsidRPr="00C9728F" w:rsidRDefault="00C9728F" w:rsidP="00C9728F">
      <w:pPr>
        <w:rPr>
          <w:lang w:eastAsia="zh-CN"/>
        </w:rPr>
      </w:pPr>
      <w:r w:rsidRPr="00C9728F">
        <w:rPr>
          <w:lang w:eastAsia="zh-CN"/>
        </w:rPr>
        <w:t>The</w:t>
      </w:r>
      <w:r>
        <w:rPr>
          <w:lang w:eastAsia="zh-CN"/>
        </w:rPr>
        <w:t xml:space="preserve"> </w:t>
      </w:r>
      <w:r w:rsidRPr="00C9728F">
        <w:rPr>
          <w:i/>
          <w:iCs/>
          <w:lang w:eastAsia="zh-CN"/>
        </w:rPr>
        <w:t>P</w:t>
      </w:r>
      <w:r>
        <w:rPr>
          <w:lang w:eastAsia="zh-CN"/>
        </w:rPr>
        <w:t xml:space="preserve"> </w:t>
      </w:r>
      <w:r w:rsidRPr="00C9728F">
        <w:rPr>
          <w:lang w:eastAsia="zh-CN"/>
        </w:rPr>
        <w:t>and</w:t>
      </w:r>
      <w:r>
        <w:rPr>
          <w:lang w:eastAsia="zh-CN"/>
        </w:rPr>
        <w:t xml:space="preserve"> </w:t>
      </w:r>
      <w:r w:rsidRPr="00C9728F">
        <w:rPr>
          <w:i/>
          <w:iCs/>
          <w:lang w:eastAsia="zh-CN"/>
        </w:rPr>
        <w:t>L</w:t>
      </w:r>
      <w:r>
        <w:rPr>
          <w:lang w:eastAsia="zh-CN"/>
        </w:rPr>
        <w:t xml:space="preserve"> </w:t>
      </w:r>
      <w:r w:rsidRPr="00C9728F">
        <w:rPr>
          <w:lang w:eastAsia="zh-CN"/>
        </w:rPr>
        <w:t>allometries presented by the authors indicate that there is an advantage to being larger in size. The graph of the regression for</w:t>
      </w:r>
      <w:r w:rsidR="0038529B">
        <w:rPr>
          <w:lang w:eastAsia="zh-CN"/>
        </w:rPr>
        <w:t xml:space="preserve"> </w:t>
      </w:r>
      <w:r w:rsidRPr="00C9728F">
        <w:rPr>
          <w:i/>
          <w:iCs/>
          <w:lang w:eastAsia="zh-CN"/>
        </w:rPr>
        <w:t>P</w:t>
      </w:r>
      <w:r w:rsidR="0038529B">
        <w:rPr>
          <w:lang w:eastAsia="zh-CN"/>
        </w:rPr>
        <w:t xml:space="preserve"> </w:t>
      </w:r>
      <w:r w:rsidRPr="00C9728F">
        <w:rPr>
          <w:lang w:eastAsia="zh-CN"/>
        </w:rPr>
        <w:t>(yellow line) shows a decrease in the sucking pressure needed to extract xylem fluid as body volume increases; the graph of</w:t>
      </w:r>
      <w:r>
        <w:rPr>
          <w:lang w:eastAsia="zh-CN"/>
        </w:rPr>
        <w:t xml:space="preserve"> </w:t>
      </w:r>
      <w:r w:rsidRPr="00C9728F">
        <w:rPr>
          <w:i/>
          <w:iCs/>
          <w:lang w:eastAsia="zh-CN"/>
        </w:rPr>
        <w:t>L</w:t>
      </w:r>
      <w:r>
        <w:rPr>
          <w:lang w:eastAsia="zh-CN"/>
        </w:rPr>
        <w:t xml:space="preserve"> </w:t>
      </w:r>
      <w:r w:rsidRPr="00C9728F">
        <w:rPr>
          <w:lang w:eastAsia="zh-CN"/>
        </w:rPr>
        <w:t xml:space="preserve">(red line) shows a similar decrease in </w:t>
      </w:r>
      <w:proofErr w:type="spellStart"/>
      <w:r w:rsidRPr="00C9728F">
        <w:rPr>
          <w:lang w:eastAsia="zh-CN"/>
        </w:rPr>
        <w:t>cibarial</w:t>
      </w:r>
      <w:proofErr w:type="spellEnd"/>
      <w:r w:rsidRPr="00C9728F">
        <w:rPr>
          <w:lang w:eastAsia="zh-CN"/>
        </w:rPr>
        <w:t xml:space="preserve"> pump load with increasing body volume. There does indeed appear to be an allometric change in the energetic costs associated with xylem feeding.</w:t>
      </w:r>
    </w:p>
    <w:p w14:paraId="1272CF68" w14:textId="77777777" w:rsidR="00283F45" w:rsidRDefault="00283F45" w:rsidP="00283F45">
      <w:pPr>
        <w:pStyle w:val="Heading1"/>
      </w:pPr>
      <w:r>
        <w:t>Conclusion</w:t>
      </w:r>
    </w:p>
    <w:p w14:paraId="598B7D88" w14:textId="77777777" w:rsidR="008E6A8B" w:rsidRPr="00950AD9" w:rsidRDefault="00950AD9" w:rsidP="008E6A8B">
      <w:pPr>
        <w:rPr>
          <w:color w:val="auto"/>
          <w:sz w:val="24"/>
          <w:szCs w:val="24"/>
          <w:lang w:eastAsia="zh-CN"/>
        </w:rPr>
      </w:pPr>
      <w:r w:rsidRPr="00950AD9">
        <w:rPr>
          <w:shd w:val="clear" w:color="auto" w:fill="FFFFFF"/>
          <w:lang w:eastAsia="zh-CN"/>
        </w:rPr>
        <w:t>The first graph (body length by percent of species) shows that among the fauna examined there are no small xylem feeding species. Novotny and Wilson demonstrate that the energetic cost of extracting sufficient quantities of xylem fluid is relatively higher as body size decreases; i.e., the allometric relationships between body volume and</w:t>
      </w:r>
      <w:r w:rsidR="00FA25D7">
        <w:rPr>
          <w:shd w:val="clear" w:color="auto" w:fill="FFFFFF"/>
          <w:lang w:eastAsia="zh-CN"/>
        </w:rPr>
        <w:t xml:space="preserve"> </w:t>
      </w:r>
      <w:r w:rsidRPr="00950AD9">
        <w:rPr>
          <w:i/>
          <w:iCs/>
          <w:shd w:val="clear" w:color="auto" w:fill="FFFFFF"/>
          <w:lang w:eastAsia="zh-CN"/>
        </w:rPr>
        <w:t>P</w:t>
      </w:r>
      <w:r w:rsidR="00FA25D7">
        <w:rPr>
          <w:shd w:val="clear" w:color="auto" w:fill="FFFFFF"/>
          <w:lang w:eastAsia="zh-CN"/>
        </w:rPr>
        <w:t xml:space="preserve"> </w:t>
      </w:r>
      <w:r w:rsidRPr="00950AD9">
        <w:rPr>
          <w:shd w:val="clear" w:color="auto" w:fill="FFFFFF"/>
          <w:lang w:eastAsia="zh-CN"/>
        </w:rPr>
        <w:t>and</w:t>
      </w:r>
      <w:r w:rsidR="00FA25D7">
        <w:rPr>
          <w:shd w:val="clear" w:color="auto" w:fill="FFFFFF"/>
          <w:lang w:eastAsia="zh-CN"/>
        </w:rPr>
        <w:t xml:space="preserve"> </w:t>
      </w:r>
      <w:r w:rsidRPr="00950AD9">
        <w:rPr>
          <w:i/>
          <w:iCs/>
          <w:shd w:val="clear" w:color="auto" w:fill="FFFFFF"/>
          <w:lang w:eastAsia="zh-CN"/>
        </w:rPr>
        <w:t>L</w:t>
      </w:r>
      <w:r w:rsidR="00FA25D7">
        <w:rPr>
          <w:shd w:val="clear" w:color="auto" w:fill="FFFFFF"/>
          <w:lang w:eastAsia="zh-CN"/>
        </w:rPr>
        <w:t xml:space="preserve"> </w:t>
      </w:r>
      <w:r w:rsidRPr="00950AD9">
        <w:rPr>
          <w:shd w:val="clear" w:color="auto" w:fill="FFFFFF"/>
          <w:lang w:eastAsia="zh-CN"/>
        </w:rPr>
        <w:t>lead to an allometric change in the energetic costs imposed by feeding on xylem. The authors suggest that energetic costs may constrain the evolution of smaller body sizes in this group of insects.</w:t>
      </w:r>
    </w:p>
    <w:p w14:paraId="575B9F73" w14:textId="77777777" w:rsidR="008E6A8B" w:rsidRDefault="008E6A8B" w:rsidP="00283F45">
      <w:pPr>
        <w:pStyle w:val="Heading1"/>
      </w:pPr>
      <w:r>
        <w:t>Additional Questions</w:t>
      </w:r>
    </w:p>
    <w:p w14:paraId="7100DED5" w14:textId="77777777" w:rsidR="00B15F2C" w:rsidRDefault="00B15F2C" w:rsidP="00B15F2C">
      <w:pPr>
        <w:pStyle w:val="NormalWeb"/>
        <w:rPr>
          <w:rFonts w:ascii="Times" w:hAnsi="Times"/>
          <w:color w:val="000000"/>
          <w:sz w:val="27"/>
          <w:szCs w:val="27"/>
        </w:rPr>
      </w:pPr>
      <w:r>
        <w:rPr>
          <w:rFonts w:ascii="Times" w:hAnsi="Times"/>
          <w:color w:val="000000"/>
          <w:sz w:val="27"/>
          <w:szCs w:val="27"/>
        </w:rPr>
        <w:lastRenderedPageBreak/>
        <w:t>1) What are some of the advantages of larger body size? What would some advantages to smaller body size be?</w:t>
      </w:r>
    </w:p>
    <w:p w14:paraId="49718C56" w14:textId="77777777" w:rsidR="008E6A8B" w:rsidRPr="00B15F2C" w:rsidRDefault="00B15F2C" w:rsidP="00B15F2C">
      <w:pPr>
        <w:pStyle w:val="NormalWeb"/>
        <w:rPr>
          <w:rFonts w:ascii="Times" w:hAnsi="Times"/>
          <w:color w:val="000000"/>
          <w:sz w:val="27"/>
          <w:szCs w:val="27"/>
        </w:rPr>
      </w:pPr>
      <w:r>
        <w:rPr>
          <w:rFonts w:ascii="Times" w:hAnsi="Times"/>
          <w:color w:val="000000"/>
          <w:sz w:val="27"/>
          <w:szCs w:val="27"/>
        </w:rPr>
        <w:t xml:space="preserve">2) What would the graphs of body volume </w:t>
      </w:r>
      <w:r>
        <w:rPr>
          <w:rFonts w:ascii="Geneva" w:hAnsi="Geneva"/>
          <w:color w:val="000000"/>
          <w:sz w:val="27"/>
          <w:szCs w:val="27"/>
        </w:rPr>
        <w:t xml:space="preserve">x </w:t>
      </w:r>
      <w:r>
        <w:rPr>
          <w:rFonts w:ascii="Times" w:hAnsi="Times"/>
          <w:i/>
          <w:iCs/>
          <w:color w:val="000000"/>
          <w:sz w:val="27"/>
          <w:szCs w:val="27"/>
        </w:rPr>
        <w:t>P</w:t>
      </w:r>
      <w:r>
        <w:rPr>
          <w:rFonts w:ascii="Times" w:hAnsi="Times"/>
          <w:color w:val="000000"/>
          <w:sz w:val="27"/>
          <w:szCs w:val="27"/>
        </w:rPr>
        <w:t xml:space="preserve"> or body volume </w:t>
      </w:r>
      <w:r>
        <w:rPr>
          <w:rFonts w:ascii="Geneva" w:hAnsi="Geneva"/>
          <w:color w:val="000000"/>
          <w:sz w:val="27"/>
          <w:szCs w:val="27"/>
        </w:rPr>
        <w:t xml:space="preserve">x </w:t>
      </w:r>
      <w:r>
        <w:rPr>
          <w:rFonts w:ascii="Times" w:hAnsi="Times"/>
          <w:i/>
          <w:iCs/>
          <w:color w:val="000000"/>
          <w:sz w:val="27"/>
          <w:szCs w:val="27"/>
        </w:rPr>
        <w:t>L</w:t>
      </w:r>
      <w:r>
        <w:rPr>
          <w:rFonts w:ascii="Times" w:hAnsi="Times"/>
          <w:color w:val="000000"/>
          <w:sz w:val="27"/>
          <w:szCs w:val="27"/>
        </w:rPr>
        <w:t xml:space="preserve"> look like if you graphed them on a log-log plot? How would you interpret these graphs?</w:t>
      </w:r>
    </w:p>
    <w:p w14:paraId="24219BEE" w14:textId="77777777" w:rsidR="00283F45" w:rsidRDefault="00283F45" w:rsidP="00283F45">
      <w:pPr>
        <w:pStyle w:val="Heading1"/>
      </w:pPr>
      <w:r>
        <w:t>Source</w:t>
      </w:r>
    </w:p>
    <w:p w14:paraId="3867C763" w14:textId="77777777" w:rsidR="0024437A" w:rsidRDefault="0024437A" w:rsidP="0024437A">
      <w:r>
        <w:t xml:space="preserve">Nobel, P. S. 1983. </w:t>
      </w:r>
      <w:r w:rsidRPr="00512384">
        <w:rPr>
          <w:i/>
        </w:rPr>
        <w:t>Biophysical Plant Physiology and Ecology</w:t>
      </w:r>
      <w:r>
        <w:t>. W. H. Freeman, San Francisco, CA.</w:t>
      </w:r>
    </w:p>
    <w:p w14:paraId="0058F736" w14:textId="77777777" w:rsidR="0024437A" w:rsidRDefault="0024437A" w:rsidP="0024437A">
      <w:r>
        <w:t xml:space="preserve">Novotny, V. and M. R. Wilson. 1997. Why are there no small species among xylem-sucking insects? </w:t>
      </w:r>
      <w:r w:rsidRPr="00512384">
        <w:rPr>
          <w:i/>
        </w:rPr>
        <w:t>Evolutionary Ecology 11</w:t>
      </w:r>
      <w:r>
        <w:t>:419-437.</w:t>
      </w:r>
    </w:p>
    <w:p w14:paraId="701088B6" w14:textId="77777777" w:rsidR="0024437A" w:rsidRDefault="0024437A" w:rsidP="0024437A">
      <w:proofErr w:type="spellStart"/>
      <w:r>
        <w:t>Romoser</w:t>
      </w:r>
      <w:proofErr w:type="spellEnd"/>
      <w:r>
        <w:t xml:space="preserve">, W. S. and J. G. </w:t>
      </w:r>
      <w:proofErr w:type="spellStart"/>
      <w:r>
        <w:t>Stoffolano</w:t>
      </w:r>
      <w:proofErr w:type="spellEnd"/>
      <w:r>
        <w:t>, Jr. 1994</w:t>
      </w:r>
      <w:r w:rsidRPr="00512384">
        <w:t xml:space="preserve">. </w:t>
      </w:r>
      <w:r w:rsidRPr="00512384">
        <w:rPr>
          <w:i/>
        </w:rPr>
        <w:t>The Science of Entomology, 3rd ed</w:t>
      </w:r>
      <w:r>
        <w:t>. Wm. C. Brown Publishers, Dubuque, IA.</w:t>
      </w:r>
    </w:p>
    <w:p w14:paraId="4559B3DE" w14:textId="77777777" w:rsidR="008E6A8B" w:rsidRDefault="0024437A" w:rsidP="0024437A">
      <w:r>
        <w:t xml:space="preserve">Schmidt-Nielson, K. 1984. Scaling: </w:t>
      </w:r>
      <w:r w:rsidRPr="009D02B8">
        <w:rPr>
          <w:i/>
        </w:rPr>
        <w:t>Why is Animal Size So Important?</w:t>
      </w:r>
      <w:r>
        <w:t xml:space="preserve"> Cambridge University Press, New York, NY.</w:t>
      </w:r>
    </w:p>
    <w:p w14:paraId="1D56165B" w14:textId="77777777" w:rsidR="00A207B5" w:rsidRPr="00283F45" w:rsidRDefault="00A207B5" w:rsidP="00283F45">
      <w:pPr>
        <w:pStyle w:val="Heading1"/>
      </w:pPr>
      <w:r w:rsidRPr="00283F45">
        <w:t>About this Resource</w:t>
      </w:r>
    </w:p>
    <w:p w14:paraId="0AA45836"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5DD8B71A"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5DF55615"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56BC2" w14:textId="77777777" w:rsidR="003D71BC" w:rsidRDefault="003D71BC" w:rsidP="00A207B5">
      <w:r>
        <w:separator/>
      </w:r>
    </w:p>
  </w:endnote>
  <w:endnote w:type="continuationSeparator" w:id="0">
    <w:p w14:paraId="3C85B40B" w14:textId="77777777" w:rsidR="003D71BC" w:rsidRDefault="003D71BC" w:rsidP="00A207B5">
      <w:r>
        <w:continuationSeparator/>
      </w:r>
    </w:p>
  </w:endnote>
  <w:endnote w:id="1">
    <w:p w14:paraId="3E4A8574" w14:textId="77777777" w:rsidR="00A207B5" w:rsidRDefault="00A207B5" w:rsidP="00A207B5">
      <w:pPr>
        <w:pStyle w:val="EndnoteText"/>
      </w:pPr>
      <w:r>
        <w:rPr>
          <w:rStyle w:val="EndnoteReference"/>
        </w:rPr>
        <w:endnoteRef/>
      </w:r>
      <w:r>
        <w:t xml:space="preserve"> http://www.tiem.utk.edu/~gross/bioed/</w:t>
      </w:r>
    </w:p>
  </w:endnote>
  <w:endnote w:id="2">
    <w:p w14:paraId="4BEE78C0" w14:textId="77777777" w:rsidR="00A207B5" w:rsidRDefault="00A207B5" w:rsidP="00A207B5">
      <w:pPr>
        <w:pStyle w:val="EndnoteText"/>
      </w:pPr>
      <w:r>
        <w:rPr>
          <w:rStyle w:val="EndnoteReference"/>
        </w:rPr>
        <w:endnoteRef/>
      </w:r>
      <w:r>
        <w:t xml:space="preserve"> https://qubeshub.org/community/groups/quantbioatcc/</w:t>
      </w:r>
    </w:p>
  </w:endnote>
  <w:endnote w:id="3">
    <w:p w14:paraId="169B2DC7"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5A37DE78" w14:textId="612D449C" w:rsidR="00A207B5" w:rsidRDefault="00A207B5" w:rsidP="00A207B5">
      <w:pPr>
        <w:pStyle w:val="EndnoteText"/>
      </w:pPr>
      <w:r>
        <w:rPr>
          <w:rStyle w:val="EndnoteReference"/>
        </w:rPr>
        <w:endnoteRef/>
      </w:r>
      <w:r>
        <w:t xml:space="preserve"> </w:t>
      </w:r>
      <w:r w:rsidRPr="00B50C5B">
        <w:t>https://qubeshub.org/qubesresources/publications/</w:t>
      </w:r>
      <w:r w:rsidR="009207BA">
        <w:t>1049</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7C728" w14:textId="77777777" w:rsidR="003D71BC" w:rsidRDefault="003D71BC" w:rsidP="00A207B5">
      <w:r>
        <w:separator/>
      </w:r>
    </w:p>
  </w:footnote>
  <w:footnote w:type="continuationSeparator" w:id="0">
    <w:p w14:paraId="7D44E964" w14:textId="77777777" w:rsidR="003D71BC" w:rsidRDefault="003D71BC"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F0"/>
    <w:rsid w:val="0005779F"/>
    <w:rsid w:val="00065173"/>
    <w:rsid w:val="0007074E"/>
    <w:rsid w:val="00074159"/>
    <w:rsid w:val="000776A9"/>
    <w:rsid w:val="000D79DD"/>
    <w:rsid w:val="00127CF0"/>
    <w:rsid w:val="00181779"/>
    <w:rsid w:val="00183B75"/>
    <w:rsid w:val="001B1F71"/>
    <w:rsid w:val="001E2492"/>
    <w:rsid w:val="002351AD"/>
    <w:rsid w:val="0024437A"/>
    <w:rsid w:val="00283F45"/>
    <w:rsid w:val="002C71F1"/>
    <w:rsid w:val="00302242"/>
    <w:rsid w:val="00356D6D"/>
    <w:rsid w:val="003607A8"/>
    <w:rsid w:val="0038529B"/>
    <w:rsid w:val="003D71BC"/>
    <w:rsid w:val="003F28B5"/>
    <w:rsid w:val="00426717"/>
    <w:rsid w:val="00430C1E"/>
    <w:rsid w:val="004449A3"/>
    <w:rsid w:val="004513F8"/>
    <w:rsid w:val="004817D7"/>
    <w:rsid w:val="00503907"/>
    <w:rsid w:val="00512384"/>
    <w:rsid w:val="00621462"/>
    <w:rsid w:val="00656C45"/>
    <w:rsid w:val="00735464"/>
    <w:rsid w:val="00750407"/>
    <w:rsid w:val="0078736C"/>
    <w:rsid w:val="007F0B29"/>
    <w:rsid w:val="00893506"/>
    <w:rsid w:val="00897E96"/>
    <w:rsid w:val="008B623B"/>
    <w:rsid w:val="008C6F56"/>
    <w:rsid w:val="008E6A8B"/>
    <w:rsid w:val="009207BA"/>
    <w:rsid w:val="00950AD9"/>
    <w:rsid w:val="009A08A5"/>
    <w:rsid w:val="009D02B8"/>
    <w:rsid w:val="009F2F12"/>
    <w:rsid w:val="00A03446"/>
    <w:rsid w:val="00A207B5"/>
    <w:rsid w:val="00B15F2C"/>
    <w:rsid w:val="00B6025F"/>
    <w:rsid w:val="00BE3910"/>
    <w:rsid w:val="00BE3B85"/>
    <w:rsid w:val="00BF106E"/>
    <w:rsid w:val="00C76D21"/>
    <w:rsid w:val="00C9728F"/>
    <w:rsid w:val="00CD3585"/>
    <w:rsid w:val="00D03DDC"/>
    <w:rsid w:val="00DB5A46"/>
    <w:rsid w:val="00E3792A"/>
    <w:rsid w:val="00E6065C"/>
    <w:rsid w:val="00E62C70"/>
    <w:rsid w:val="00E74581"/>
    <w:rsid w:val="00E92C55"/>
    <w:rsid w:val="00ED1CE9"/>
    <w:rsid w:val="00EE1CF7"/>
    <w:rsid w:val="00FA2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7C3CA4"/>
  <w15:chartTrackingRefBased/>
  <w15:docId w15:val="{D59ACC50-00FC-1A4E-9CCF-13E4BCA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074159"/>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BF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10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179">
      <w:bodyDiv w:val="1"/>
      <w:marLeft w:val="0"/>
      <w:marRight w:val="0"/>
      <w:marTop w:val="0"/>
      <w:marBottom w:val="0"/>
      <w:divBdr>
        <w:top w:val="none" w:sz="0" w:space="0" w:color="auto"/>
        <w:left w:val="none" w:sz="0" w:space="0" w:color="auto"/>
        <w:bottom w:val="none" w:sz="0" w:space="0" w:color="auto"/>
        <w:right w:val="none" w:sz="0" w:space="0" w:color="auto"/>
      </w:divBdr>
    </w:div>
    <w:div w:id="433020206">
      <w:bodyDiv w:val="1"/>
      <w:marLeft w:val="0"/>
      <w:marRight w:val="0"/>
      <w:marTop w:val="0"/>
      <w:marBottom w:val="0"/>
      <w:divBdr>
        <w:top w:val="none" w:sz="0" w:space="0" w:color="auto"/>
        <w:left w:val="none" w:sz="0" w:space="0" w:color="auto"/>
        <w:bottom w:val="none" w:sz="0" w:space="0" w:color="auto"/>
        <w:right w:val="none" w:sz="0" w:space="0" w:color="auto"/>
      </w:divBdr>
    </w:div>
    <w:div w:id="505901756">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200168015">
      <w:bodyDiv w:val="1"/>
      <w:marLeft w:val="0"/>
      <w:marRight w:val="0"/>
      <w:marTop w:val="0"/>
      <w:marBottom w:val="0"/>
      <w:divBdr>
        <w:top w:val="none" w:sz="0" w:space="0" w:color="auto"/>
        <w:left w:val="none" w:sz="0" w:space="0" w:color="auto"/>
        <w:bottom w:val="none" w:sz="0" w:space="0" w:color="auto"/>
        <w:right w:val="none" w:sz="0" w:space="0" w:color="auto"/>
      </w:divBdr>
    </w:div>
    <w:div w:id="1764185011">
      <w:bodyDiv w:val="1"/>
      <w:marLeft w:val="0"/>
      <w:marRight w:val="0"/>
      <w:marTop w:val="0"/>
      <w:marBottom w:val="0"/>
      <w:divBdr>
        <w:top w:val="none" w:sz="0" w:space="0" w:color="auto"/>
        <w:left w:val="none" w:sz="0" w:space="0" w:color="auto"/>
        <w:bottom w:val="none" w:sz="0" w:space="0" w:color="auto"/>
        <w:right w:val="none" w:sz="0" w:space="0" w:color="auto"/>
      </w:divBdr>
    </w:div>
    <w:div w:id="20440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13</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44</cp:revision>
  <cp:lastPrinted>2019-01-17T00:14:00Z</cp:lastPrinted>
  <dcterms:created xsi:type="dcterms:W3CDTF">2019-01-17T00:06:00Z</dcterms:created>
  <dcterms:modified xsi:type="dcterms:W3CDTF">2019-02-04T03:06:00Z</dcterms:modified>
</cp:coreProperties>
</file>