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BCFE" w14:textId="77777777" w:rsidR="00A207B5" w:rsidRPr="00A207B5" w:rsidRDefault="004961BB" w:rsidP="00A207B5">
      <w:pPr>
        <w:pStyle w:val="Title"/>
      </w:pPr>
      <w:r>
        <w:t>Hardy-Weinberg Equilibrium</w:t>
      </w:r>
    </w:p>
    <w:p w14:paraId="7A7D14C4" w14:textId="77777777" w:rsidR="00A207B5" w:rsidRDefault="00A207B5" w:rsidP="00283F45">
      <w:pPr>
        <w:pStyle w:val="Heading1"/>
      </w:pPr>
      <w:r w:rsidRPr="00283F45">
        <w:t>Introduction</w:t>
      </w:r>
    </w:p>
    <w:p w14:paraId="2B92A1C2" w14:textId="77777777" w:rsidR="008E6A8B" w:rsidRPr="008E6A8B" w:rsidRDefault="004961BB" w:rsidP="008E6A8B">
      <w:r w:rsidRPr="004961BB">
        <w:t>The Hardy-Weinberg model, named after the two scientists that derived it in the early part of this century, describes and predicts genotype and allele frequencies in a non-evolving population. The model has five basic assumptions: 1) the population is large (i.e., there is no genetic drift); 2) there is no gene flow between populations, from migration or transfer of gametes; 3) mutations are negligible; 4) individuals are mating randomly; and 5) natural selection is not operating on the population. Given these assumptions, a population's genotype and allele frequencies will remain unchanged over successive generations, and the population is said to be in Hardy-Weinberg equilibrium. The Hardy-Weinberg model can also be applied to the genotype frequency of a single gene.</w:t>
      </w:r>
    </w:p>
    <w:p w14:paraId="33546160" w14:textId="77777777" w:rsidR="00283F45" w:rsidRDefault="00283F45" w:rsidP="00283F45">
      <w:pPr>
        <w:pStyle w:val="Heading1"/>
      </w:pPr>
      <w:r w:rsidRPr="00283F45">
        <w:t>Importance</w:t>
      </w:r>
    </w:p>
    <w:p w14:paraId="472867CE" w14:textId="77777777" w:rsidR="008E6A8B" w:rsidRPr="008E6A8B" w:rsidRDefault="004961BB" w:rsidP="008E6A8B">
      <w:r w:rsidRPr="004961BB">
        <w:t>The Hardy-Weinberg model enables us to compare a population's actual genetic structure over time with the genetic structure we would expect if the population were in Hardy-Weinberg equilibrium (i.e., not evolving). If genotype frequencies differ from those we would expect under equilibrium, we can assume that one or more of the model's assumptions are being violated and attempt to determine which one(s).</w:t>
      </w:r>
    </w:p>
    <w:p w14:paraId="7423320F" w14:textId="77777777" w:rsidR="00283F45" w:rsidRDefault="00283F45" w:rsidP="00283F45">
      <w:pPr>
        <w:pStyle w:val="Heading1"/>
      </w:pPr>
      <w:r>
        <w:t>Questions</w:t>
      </w:r>
    </w:p>
    <w:p w14:paraId="05445CB1" w14:textId="77777777" w:rsidR="008E6A8B" w:rsidRPr="008E6A8B" w:rsidRDefault="004961BB" w:rsidP="008E6A8B">
      <w:r w:rsidRPr="004961BB">
        <w:t>How do we use the Hardy-Weinberg model to predict genotype and allele frequencies? What does the model tell us about the genetic structure of a population?</w:t>
      </w:r>
    </w:p>
    <w:p w14:paraId="2AA4B3DD" w14:textId="77777777" w:rsidR="004961BB" w:rsidRPr="004961BB" w:rsidRDefault="00283F45" w:rsidP="004961BB">
      <w:pPr>
        <w:pStyle w:val="Heading1"/>
      </w:pPr>
      <w:r>
        <w:t>Variables</w:t>
      </w:r>
    </w:p>
    <w:tbl>
      <w:tblPr>
        <w:tblW w:w="3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385"/>
        <w:gridCol w:w="3260"/>
      </w:tblGrid>
      <w:tr w:rsidR="004961BB" w:rsidRPr="004961BB" w14:paraId="2FF7D69C" w14:textId="77777777" w:rsidTr="004961BB">
        <w:trPr>
          <w:tblCellSpacing w:w="15" w:type="dxa"/>
        </w:trPr>
        <w:tc>
          <w:tcPr>
            <w:tcW w:w="450" w:type="pct"/>
            <w:shd w:val="clear" w:color="auto" w:fill="FFFFFF"/>
            <w:hideMark/>
          </w:tcPr>
          <w:p w14:paraId="0B94FCA8" w14:textId="77777777" w:rsidR="004961BB" w:rsidRPr="004961BB" w:rsidRDefault="004961BB" w:rsidP="004961BB">
            <w:pPr>
              <w:pStyle w:val="TableContent"/>
              <w:rPr>
                <w:lang w:eastAsia="zh-CN"/>
              </w:rPr>
            </w:pPr>
            <w:r w:rsidRPr="004961BB">
              <w:rPr>
                <w:lang w:eastAsia="zh-CN"/>
              </w:rPr>
              <w:t>p</w:t>
            </w:r>
          </w:p>
        </w:tc>
        <w:tc>
          <w:tcPr>
            <w:tcW w:w="4550" w:type="pct"/>
            <w:shd w:val="clear" w:color="auto" w:fill="FFFFFF"/>
            <w:hideMark/>
          </w:tcPr>
          <w:p w14:paraId="6DAD6490" w14:textId="77777777" w:rsidR="004961BB" w:rsidRPr="004961BB" w:rsidRDefault="004961BB" w:rsidP="004961BB">
            <w:pPr>
              <w:pStyle w:val="TableContent"/>
              <w:rPr>
                <w:lang w:eastAsia="zh-CN"/>
              </w:rPr>
            </w:pPr>
            <w:r w:rsidRPr="004961BB">
              <w:rPr>
                <w:lang w:eastAsia="zh-CN"/>
              </w:rPr>
              <w:t>frequency of one of two alleles</w:t>
            </w:r>
          </w:p>
        </w:tc>
      </w:tr>
      <w:tr w:rsidR="004961BB" w:rsidRPr="004961BB" w14:paraId="343905B8" w14:textId="77777777" w:rsidTr="004961BB">
        <w:trPr>
          <w:tblCellSpacing w:w="15" w:type="dxa"/>
        </w:trPr>
        <w:tc>
          <w:tcPr>
            <w:tcW w:w="450" w:type="pct"/>
            <w:shd w:val="clear" w:color="auto" w:fill="FFFFFF"/>
            <w:hideMark/>
          </w:tcPr>
          <w:p w14:paraId="51F0E088" w14:textId="77777777" w:rsidR="004961BB" w:rsidRPr="004961BB" w:rsidRDefault="004961BB" w:rsidP="004961BB">
            <w:pPr>
              <w:pStyle w:val="TableContent"/>
              <w:rPr>
                <w:lang w:eastAsia="zh-CN"/>
              </w:rPr>
            </w:pPr>
            <w:r w:rsidRPr="004961BB">
              <w:rPr>
                <w:lang w:eastAsia="zh-CN"/>
              </w:rPr>
              <w:t>q</w:t>
            </w:r>
          </w:p>
        </w:tc>
        <w:tc>
          <w:tcPr>
            <w:tcW w:w="4550" w:type="pct"/>
            <w:shd w:val="clear" w:color="auto" w:fill="FFFFFF"/>
            <w:hideMark/>
          </w:tcPr>
          <w:p w14:paraId="20E2B4A6" w14:textId="77777777" w:rsidR="004961BB" w:rsidRPr="004961BB" w:rsidRDefault="004961BB" w:rsidP="004961BB">
            <w:pPr>
              <w:pStyle w:val="TableContent"/>
              <w:rPr>
                <w:lang w:eastAsia="zh-CN"/>
              </w:rPr>
            </w:pPr>
            <w:r w:rsidRPr="004961BB">
              <w:rPr>
                <w:lang w:eastAsia="zh-CN"/>
              </w:rPr>
              <w:t xml:space="preserve">frequency of the other of </w:t>
            </w:r>
            <w:proofErr w:type="spellStart"/>
            <w:r w:rsidRPr="004961BB">
              <w:rPr>
                <w:lang w:eastAsia="zh-CN"/>
              </w:rPr>
              <w:t>twoalleles</w:t>
            </w:r>
            <w:proofErr w:type="spellEnd"/>
          </w:p>
        </w:tc>
      </w:tr>
    </w:tbl>
    <w:p w14:paraId="0A9D2D47" w14:textId="77777777" w:rsidR="008E6A8B" w:rsidRPr="008E6A8B" w:rsidRDefault="008E6A8B" w:rsidP="008E6A8B"/>
    <w:p w14:paraId="4ADEB091" w14:textId="77777777" w:rsidR="00283F45" w:rsidRDefault="00283F45" w:rsidP="00283F45">
      <w:pPr>
        <w:pStyle w:val="Heading1"/>
      </w:pPr>
      <w:r>
        <w:t>Methods</w:t>
      </w:r>
    </w:p>
    <w:p w14:paraId="5C289838" w14:textId="77777777" w:rsidR="00B51E60" w:rsidRDefault="00B51E60" w:rsidP="00B51E60">
      <w:r>
        <w:t>The Hardy-Weinberg model consists of two equations: one that calculates allele frequencies and one that calculates genotype frequencies. Because we are dealing with frequencies, both equations must add up to 1. The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1E60" w14:paraId="16B15782" w14:textId="77777777" w:rsidTr="00B51E60">
        <w:tc>
          <w:tcPr>
            <w:tcW w:w="4675" w:type="dxa"/>
            <w:vAlign w:val="center"/>
          </w:tcPr>
          <w:p w14:paraId="1C648B9D" w14:textId="77777777" w:rsidR="00B51E60" w:rsidRDefault="00B51E60" w:rsidP="00B51E60">
            <w:pPr>
              <w:rPr>
                <w:lang w:eastAsia="zh-CN"/>
              </w:rPr>
            </w:pPr>
            <m:oMathPara>
              <m:oMath>
                <m:r>
                  <w:rPr>
                    <w:rFonts w:ascii="Cambria Math" w:hAnsi="Cambria Math"/>
                    <w:lang w:eastAsia="zh-CN"/>
                  </w:rPr>
                  <w:lastRenderedPageBreak/>
                  <m:t>p</m:t>
                </m:r>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=1</m:t>
                </m:r>
              </m:oMath>
            </m:oMathPara>
          </w:p>
        </w:tc>
        <w:tc>
          <w:tcPr>
            <w:tcW w:w="4675" w:type="dxa"/>
            <w:vAlign w:val="center"/>
          </w:tcPr>
          <w:p w14:paraId="584CD5C2" w14:textId="77777777" w:rsidR="00B51E60" w:rsidRDefault="00B51E60" w:rsidP="00B51E60">
            <w:pPr>
              <w:rPr>
                <w:lang w:eastAsia="zh-CN"/>
              </w:rPr>
            </w:pPr>
            <w:r>
              <w:rPr>
                <w:lang w:eastAsia="zh-CN"/>
              </w:rPr>
              <w:t xml:space="preserve">LaTeX Code: </w:t>
            </w:r>
            <w:proofErr w:type="gramStart"/>
            <w:r>
              <w:rPr>
                <w:lang w:eastAsia="zh-CN"/>
              </w:rPr>
              <w:t>\[</w:t>
            </w:r>
            <w:proofErr w:type="gramEnd"/>
            <w:r>
              <w:rPr>
                <w:lang w:eastAsia="zh-CN"/>
              </w:rPr>
              <w:t xml:space="preserve"> p + q = 1 \]</w:t>
            </w:r>
          </w:p>
        </w:tc>
      </w:tr>
    </w:tbl>
    <w:p w14:paraId="2C76DC83" w14:textId="77777777" w:rsidR="00B51E60" w:rsidRDefault="00B51E60" w:rsidP="00B51E60">
      <w:r>
        <w:t>describes allele frequencies for a gene with two alleles. (This is the simplest case, but the equation can also be modified and used in cases with three or more alleles.) If we know the frequency of one allele (</w:t>
      </w:r>
      <w:r>
        <w:rPr>
          <w:i/>
          <w:iCs/>
        </w:rPr>
        <w:t>p</w:t>
      </w:r>
      <w:r>
        <w:t>) we can easily calculate the frequency of the other allele (</w:t>
      </w:r>
      <w:r>
        <w:rPr>
          <w:i/>
          <w:iCs/>
        </w:rPr>
        <w:t>q</w:t>
      </w:r>
      <w:r>
        <w:t xml:space="preserve">) by 1 </w:t>
      </w:r>
      <w:r w:rsidR="00AE5114">
        <w:t>-</w:t>
      </w:r>
      <w:r w:rsidR="00065DF5">
        <w:t xml:space="preserve"> </w:t>
      </w:r>
      <w:r>
        <w:rPr>
          <w:i/>
          <w:iCs/>
        </w:rPr>
        <w:t>p</w:t>
      </w:r>
      <w:r w:rsidR="00065DF5">
        <w:t xml:space="preserve"> </w:t>
      </w:r>
      <w:r>
        <w:t>=</w:t>
      </w:r>
      <w:r w:rsidR="00065DF5">
        <w:t xml:space="preserve"> </w:t>
      </w:r>
      <w:r>
        <w:rPr>
          <w:i/>
          <w:iCs/>
        </w:rPr>
        <w:t>q</w:t>
      </w:r>
      <w:r>
        <w:t>.</w:t>
      </w:r>
    </w:p>
    <w:p w14:paraId="66F64F9A" w14:textId="77777777" w:rsidR="00B51E60" w:rsidRDefault="00B51E60" w:rsidP="00B51E60">
      <w:r>
        <w:t>In a diploid organism with alleles</w:t>
      </w:r>
      <w:r w:rsidR="0000070F">
        <w:t xml:space="preserve"> </w:t>
      </w:r>
      <w:r>
        <w:rPr>
          <w:i/>
          <w:iCs/>
        </w:rPr>
        <w:t>A</w:t>
      </w:r>
      <w:r w:rsidR="0000070F">
        <w:t xml:space="preserve"> </w:t>
      </w:r>
      <w:r>
        <w:t>and</w:t>
      </w:r>
      <w:r w:rsidR="0000070F">
        <w:t xml:space="preserve"> </w:t>
      </w:r>
      <w:r>
        <w:rPr>
          <w:i/>
          <w:iCs/>
        </w:rPr>
        <w:t>a</w:t>
      </w:r>
      <w:r w:rsidR="0000070F">
        <w:rPr>
          <w:i/>
          <w:iCs/>
        </w:rPr>
        <w:t xml:space="preserve"> </w:t>
      </w:r>
      <w:r>
        <w:t>at a given locus, there are three possible genotypes:</w:t>
      </w:r>
      <w:r w:rsidR="0000070F">
        <w:t xml:space="preserve"> </w:t>
      </w:r>
      <w:r>
        <w:rPr>
          <w:i/>
          <w:iCs/>
        </w:rPr>
        <w:t>AA</w:t>
      </w:r>
      <w:r>
        <w:t>,</w:t>
      </w:r>
      <w:r w:rsidR="0000070F">
        <w:t xml:space="preserve"> </w:t>
      </w:r>
      <w:r>
        <w:rPr>
          <w:i/>
          <w:iCs/>
        </w:rPr>
        <w:t>Aa</w:t>
      </w:r>
      <w:r>
        <w:t>, and</w:t>
      </w:r>
      <w:r w:rsidR="0000070F">
        <w:t xml:space="preserve"> </w:t>
      </w:r>
      <w:r>
        <w:rPr>
          <w:i/>
          <w:iCs/>
        </w:rPr>
        <w:t>aa</w:t>
      </w:r>
      <w:r>
        <w:t>. If we use</w:t>
      </w:r>
      <w:r w:rsidR="0000070F">
        <w:t xml:space="preserve"> </w:t>
      </w:r>
      <w:r>
        <w:rPr>
          <w:i/>
          <w:iCs/>
        </w:rPr>
        <w:t>p</w:t>
      </w:r>
      <w:r w:rsidR="0000070F">
        <w:t xml:space="preserve"> </w:t>
      </w:r>
      <w:r>
        <w:t>to represent the frequency of</w:t>
      </w:r>
      <w:r w:rsidR="00CC5D6E">
        <w:t xml:space="preserve"> </w:t>
      </w:r>
      <w:r>
        <w:rPr>
          <w:i/>
          <w:iCs/>
        </w:rPr>
        <w:t>A</w:t>
      </w:r>
      <w:r w:rsidR="00CC5D6E">
        <w:t xml:space="preserve"> </w:t>
      </w:r>
      <w:r>
        <w:t>and</w:t>
      </w:r>
      <w:r w:rsidR="00CC5D6E">
        <w:t xml:space="preserve"> </w:t>
      </w:r>
      <w:r>
        <w:rPr>
          <w:i/>
          <w:iCs/>
        </w:rPr>
        <w:t>q</w:t>
      </w:r>
      <w:r w:rsidR="00CC5D6E">
        <w:t xml:space="preserve"> </w:t>
      </w:r>
      <w:r>
        <w:t>to represent the frequency of</w:t>
      </w:r>
      <w:r w:rsidR="00CC5D6E">
        <w:t xml:space="preserve"> </w:t>
      </w:r>
      <w:r>
        <w:rPr>
          <w:i/>
          <w:iCs/>
        </w:rPr>
        <w:t>a</w:t>
      </w:r>
      <w:r>
        <w:t>, we can write the genotype frequencies as (</w:t>
      </w:r>
      <w:r>
        <w:rPr>
          <w:i/>
          <w:iCs/>
        </w:rPr>
        <w:t>p</w:t>
      </w:r>
      <w:r>
        <w:t>)(</w:t>
      </w:r>
      <w:r>
        <w:rPr>
          <w:i/>
          <w:iCs/>
        </w:rPr>
        <w:t>p</w:t>
      </w:r>
      <w:r>
        <w:t>) or</w:t>
      </w:r>
      <w:r w:rsidR="00384D2C">
        <w:t xml:space="preserve"> </w:t>
      </w:r>
      <w:r>
        <w:rPr>
          <w:i/>
          <w:iCs/>
        </w:rPr>
        <w:t>p</w:t>
      </w:r>
      <w:r>
        <w:rPr>
          <w:vertAlign w:val="superscript"/>
        </w:rPr>
        <w:t>2</w:t>
      </w:r>
      <w:r w:rsidR="00384D2C">
        <w:t xml:space="preserve"> </w:t>
      </w:r>
      <w:r>
        <w:t>for</w:t>
      </w:r>
      <w:r w:rsidR="00384D2C">
        <w:t xml:space="preserve"> </w:t>
      </w:r>
      <w:r>
        <w:rPr>
          <w:i/>
          <w:iCs/>
        </w:rPr>
        <w:t>AA</w:t>
      </w:r>
      <w:r>
        <w:t>, (</w:t>
      </w:r>
      <w:r>
        <w:rPr>
          <w:i/>
          <w:iCs/>
        </w:rPr>
        <w:t>q</w:t>
      </w:r>
      <w:r>
        <w:t>)(</w:t>
      </w:r>
      <w:r>
        <w:rPr>
          <w:i/>
          <w:iCs/>
        </w:rPr>
        <w:t>q</w:t>
      </w:r>
      <w:r>
        <w:t>) or</w:t>
      </w:r>
      <w:r w:rsidR="00384D2C">
        <w:t xml:space="preserve"> </w:t>
      </w:r>
      <w:r>
        <w:rPr>
          <w:i/>
          <w:iCs/>
        </w:rPr>
        <w:t>q</w:t>
      </w:r>
      <w:r>
        <w:rPr>
          <w:vertAlign w:val="superscript"/>
        </w:rPr>
        <w:t>2</w:t>
      </w:r>
      <w:r w:rsidR="00384D2C">
        <w:t xml:space="preserve"> </w:t>
      </w:r>
      <w:r>
        <w:t>for</w:t>
      </w:r>
      <w:r w:rsidR="00FF5185">
        <w:t xml:space="preserve"> </w:t>
      </w:r>
      <w:r>
        <w:rPr>
          <w:i/>
          <w:iCs/>
        </w:rPr>
        <w:t>aa</w:t>
      </w:r>
      <w:r>
        <w:t>, and 2(</w:t>
      </w:r>
      <w:r>
        <w:rPr>
          <w:i/>
          <w:iCs/>
        </w:rPr>
        <w:t>p</w:t>
      </w:r>
      <w:r>
        <w:t>)(</w:t>
      </w:r>
      <w:r>
        <w:rPr>
          <w:i/>
          <w:iCs/>
        </w:rPr>
        <w:t>q</w:t>
      </w:r>
      <w:r>
        <w:t>) for</w:t>
      </w:r>
      <w:r w:rsidR="00FF5185">
        <w:t xml:space="preserve"> </w:t>
      </w:r>
      <w:r>
        <w:rPr>
          <w:i/>
          <w:iCs/>
        </w:rPr>
        <w:t>Aa</w:t>
      </w:r>
      <w:r>
        <w:t>. The equation for genotype frequencies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68B" w14:paraId="28A99045" w14:textId="77777777" w:rsidTr="00A1068B">
        <w:tc>
          <w:tcPr>
            <w:tcW w:w="4675" w:type="dxa"/>
            <w:vAlign w:val="center"/>
          </w:tcPr>
          <w:p w14:paraId="1258A1C3" w14:textId="77777777" w:rsidR="00A1068B" w:rsidRDefault="0049376E" w:rsidP="00A1068B">
            <m:oMathPara>
              <m:oMath>
                <m:sSup>
                  <m:sSupPr>
                    <m:ctrlPr>
                      <w:rPr>
                        <w:rFonts w:ascii="Cambria Math" w:hAnsi="Cambria Math"/>
                      </w:rPr>
                    </m:ctrlPr>
                  </m:sSupPr>
                  <m:e>
                    <m:r>
                      <w:rPr>
                        <w:rFonts w:ascii="Cambria Math" w:hAnsi="Cambria Math"/>
                      </w:rPr>
                      <m:t>p</m:t>
                    </m:r>
                  </m:e>
                  <m:sup>
                    <m:r>
                      <m:rPr>
                        <m:sty m:val="p"/>
                      </m:rPr>
                      <w:rPr>
                        <w:rFonts w:ascii="Cambria Math" w:hAnsi="Cambria Math"/>
                      </w:rPr>
                      <m:t>2</m:t>
                    </m:r>
                  </m:sup>
                </m:sSup>
                <m:r>
                  <m:rPr>
                    <m:sty m:val="p"/>
                  </m:rPr>
                  <w:rPr>
                    <w:rFonts w:ascii="Cambria Math" w:hAnsi="Cambria Math"/>
                  </w:rPr>
                  <m:t>+2</m:t>
                </m:r>
                <m:r>
                  <w:rPr>
                    <w:rFonts w:ascii="Cambria Math" w:hAnsi="Cambria Math"/>
                  </w:rPr>
                  <m:t>pq</m:t>
                </m:r>
                <m:r>
                  <m:rPr>
                    <m:sty m:val="p"/>
                  </m:rPr>
                  <w:rPr>
                    <w:rFonts w:ascii="Cambria Math" w:hAnsi="Cambria Math"/>
                  </w:rPr>
                  <m:t>+</m:t>
                </m:r>
                <m:sSup>
                  <m:sSupPr>
                    <m:ctrlPr>
                      <w:rPr>
                        <w:rFonts w:ascii="Cambria Math" w:hAnsi="Cambria Math"/>
                      </w:rPr>
                    </m:ctrlPr>
                  </m:sSupPr>
                  <m:e>
                    <m:r>
                      <w:rPr>
                        <w:rFonts w:ascii="Cambria Math" w:hAnsi="Cambria Math"/>
                      </w:rPr>
                      <m:t>q</m:t>
                    </m:r>
                  </m:e>
                  <m:sup>
                    <m:r>
                      <m:rPr>
                        <m:sty m:val="p"/>
                      </m:rPr>
                      <w:rPr>
                        <w:rFonts w:ascii="Cambria Math" w:hAnsi="Cambria Math"/>
                      </w:rPr>
                      <m:t>2</m:t>
                    </m:r>
                  </m:sup>
                </m:sSup>
                <m:r>
                  <m:rPr>
                    <m:sty m:val="p"/>
                  </m:rPr>
                  <w:rPr>
                    <w:rFonts w:ascii="Cambria Math" w:hAnsi="Cambria Math"/>
                  </w:rPr>
                  <m:t>=1</m:t>
                </m:r>
              </m:oMath>
            </m:oMathPara>
          </w:p>
        </w:tc>
        <w:tc>
          <w:tcPr>
            <w:tcW w:w="4675" w:type="dxa"/>
            <w:vAlign w:val="center"/>
          </w:tcPr>
          <w:p w14:paraId="6D426F02" w14:textId="77777777" w:rsidR="00A1068B" w:rsidRDefault="00A1068B" w:rsidP="00A1068B">
            <w:r>
              <w:t xml:space="preserve">LaTeX Code: </w:t>
            </w:r>
            <w:proofErr w:type="gramStart"/>
            <w:r>
              <w:t>\[</w:t>
            </w:r>
            <w:proofErr w:type="gramEnd"/>
            <w:r>
              <w:t xml:space="preserve"> p^2 + 2pq + q^2 = 1 \]</w:t>
            </w:r>
          </w:p>
        </w:tc>
      </w:tr>
    </w:tbl>
    <w:p w14:paraId="0C107A51" w14:textId="77777777" w:rsidR="00B51E60" w:rsidRDefault="00B51E60" w:rsidP="00B51E60">
      <w:r>
        <w:t xml:space="preserve">One approach to the study of genetic diversity is to look at allele and genotype frequencies of allozymes. Allozymes are enzymes that show different rates of movement in gel electrophoresis due to the presence of different alleles at a single locus; they are often denoted as F (fast-moving) and S (slow-moving) alleles. Allozyme variation is an indicator of genetic </w:t>
      </w:r>
      <w:r w:rsidR="002B4EE3">
        <w:t>variation and</w:t>
      </w:r>
      <w:r>
        <w:t xml:space="preserve"> can be studied to quantify genetic variation among populations.</w:t>
      </w:r>
    </w:p>
    <w:p w14:paraId="6F312155" w14:textId="77777777" w:rsidR="00B51E60" w:rsidRDefault="00B51E60" w:rsidP="00B51E60">
      <w:proofErr w:type="spellStart"/>
      <w:r>
        <w:t>Lidicker</w:t>
      </w:r>
      <w:proofErr w:type="spellEnd"/>
      <w:r>
        <w:t xml:space="preserve"> and McCollum (1997) examined genetic variation in two populations of sea otters (</w:t>
      </w:r>
      <w:proofErr w:type="spellStart"/>
      <w:r>
        <w:rPr>
          <w:i/>
          <w:iCs/>
        </w:rPr>
        <w:t>Enhydra</w:t>
      </w:r>
      <w:proofErr w:type="spellEnd"/>
      <w:r>
        <w:rPr>
          <w:i/>
          <w:iCs/>
        </w:rPr>
        <w:t xml:space="preserve"> </w:t>
      </w:r>
      <w:proofErr w:type="spellStart"/>
      <w:r>
        <w:rPr>
          <w:i/>
          <w:iCs/>
        </w:rPr>
        <w:t>lutris</w:t>
      </w:r>
      <w:proofErr w:type="spellEnd"/>
      <w:r>
        <w:t>) in the eastern Pacific. Sea otters were distributed throughout this region before fur hunting nearly led to their local extinction. Along the central California coast only one population of 50 or fewer individuals is thought to have survived; this population was protected in 1911 and has grown to its current size of approximately 1500 otters. Because of the extreme reduction in population size (a bottleneck), the population may have lost considerable genetic variation. A population from Alaska also experienced a bottleneck around that time but it was not as severe.</w:t>
      </w:r>
    </w:p>
    <w:p w14:paraId="4AD8A4A7" w14:textId="77777777" w:rsidR="00B51E60" w:rsidRDefault="00B51E60" w:rsidP="00B51E60">
      <w:r>
        <w:t xml:space="preserve">The table below (data from </w:t>
      </w:r>
      <w:proofErr w:type="spellStart"/>
      <w:r>
        <w:t>Lidicker</w:t>
      </w:r>
      <w:proofErr w:type="spellEnd"/>
      <w:r>
        <w:t xml:space="preserve"> &amp; McCollum 1997) contains counts of the number of individuals with a given genotype for six variable (polymorphic) two-allele loci.</w:t>
      </w:r>
    </w:p>
    <w:tbl>
      <w:tblPr>
        <w:tblW w:w="45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1080"/>
        <w:gridCol w:w="1289"/>
        <w:gridCol w:w="1289"/>
        <w:gridCol w:w="932"/>
      </w:tblGrid>
      <w:tr w:rsidR="0040483E" w:rsidRPr="0040483E" w14:paraId="444FBE93" w14:textId="77777777" w:rsidTr="0040483E">
        <w:trPr>
          <w:tblCellSpacing w:w="15" w:type="dxa"/>
          <w:jc w:val="center"/>
        </w:trPr>
        <w:tc>
          <w:tcPr>
            <w:tcW w:w="1127" w:type="pct"/>
            <w:shd w:val="clear" w:color="auto" w:fill="auto"/>
            <w:vAlign w:val="center"/>
          </w:tcPr>
          <w:p w14:paraId="74316E5C" w14:textId="77777777" w:rsidR="0040483E" w:rsidRPr="0040483E" w:rsidRDefault="0040483E" w:rsidP="0040483E">
            <w:pPr>
              <w:pStyle w:val="TableContent"/>
              <w:jc w:val="center"/>
              <w:rPr>
                <w:lang w:eastAsia="zh-CN"/>
              </w:rPr>
            </w:pPr>
          </w:p>
        </w:tc>
        <w:tc>
          <w:tcPr>
            <w:tcW w:w="1371" w:type="pct"/>
            <w:shd w:val="clear" w:color="auto" w:fill="auto"/>
            <w:vAlign w:val="center"/>
          </w:tcPr>
          <w:p w14:paraId="2763BB81" w14:textId="77777777" w:rsidR="0040483E" w:rsidRPr="0040483E" w:rsidRDefault="0040483E" w:rsidP="0040483E">
            <w:pPr>
              <w:pStyle w:val="TableContent"/>
              <w:jc w:val="center"/>
              <w:rPr>
                <w:lang w:eastAsia="zh-CN"/>
              </w:rPr>
            </w:pPr>
          </w:p>
        </w:tc>
        <w:tc>
          <w:tcPr>
            <w:tcW w:w="1371" w:type="pct"/>
            <w:shd w:val="clear" w:color="auto" w:fill="auto"/>
            <w:vAlign w:val="center"/>
          </w:tcPr>
          <w:p w14:paraId="381D15E9" w14:textId="77777777" w:rsidR="0040483E" w:rsidRPr="0040483E" w:rsidRDefault="0040483E" w:rsidP="0040483E">
            <w:pPr>
              <w:pStyle w:val="TableContent"/>
              <w:jc w:val="center"/>
              <w:rPr>
                <w:lang w:eastAsia="zh-CN"/>
              </w:rPr>
            </w:pPr>
            <w:r w:rsidRPr="0040483E">
              <w:rPr>
                <w:lang w:eastAsia="zh-CN"/>
              </w:rPr>
              <w:t>California</w:t>
            </w:r>
          </w:p>
        </w:tc>
        <w:tc>
          <w:tcPr>
            <w:tcW w:w="966" w:type="pct"/>
            <w:shd w:val="clear" w:color="auto" w:fill="auto"/>
            <w:vAlign w:val="center"/>
          </w:tcPr>
          <w:p w14:paraId="4EDE6183" w14:textId="77777777" w:rsidR="0040483E" w:rsidRPr="0040483E" w:rsidRDefault="0040483E" w:rsidP="0040483E">
            <w:pPr>
              <w:pStyle w:val="TableContent"/>
              <w:jc w:val="center"/>
              <w:rPr>
                <w:lang w:eastAsia="zh-CN"/>
              </w:rPr>
            </w:pPr>
            <w:r w:rsidRPr="0040483E">
              <w:rPr>
                <w:lang w:eastAsia="zh-CN"/>
              </w:rPr>
              <w:t>Alaska</w:t>
            </w:r>
          </w:p>
        </w:tc>
      </w:tr>
      <w:tr w:rsidR="0040483E" w:rsidRPr="0040483E" w14:paraId="201FE92C" w14:textId="77777777" w:rsidTr="0040483E">
        <w:trPr>
          <w:tblCellSpacing w:w="15" w:type="dxa"/>
          <w:jc w:val="center"/>
        </w:trPr>
        <w:tc>
          <w:tcPr>
            <w:tcW w:w="1127" w:type="pct"/>
            <w:shd w:val="clear" w:color="auto" w:fill="auto"/>
            <w:vAlign w:val="center"/>
            <w:hideMark/>
          </w:tcPr>
          <w:p w14:paraId="424EDB07" w14:textId="77777777" w:rsidR="0040483E" w:rsidRPr="0040483E" w:rsidRDefault="0040483E" w:rsidP="0040483E">
            <w:pPr>
              <w:pStyle w:val="TableContent"/>
              <w:jc w:val="center"/>
              <w:rPr>
                <w:lang w:eastAsia="zh-CN"/>
              </w:rPr>
            </w:pPr>
            <w:r w:rsidRPr="0040483E">
              <w:rPr>
                <w:lang w:eastAsia="zh-CN"/>
              </w:rPr>
              <w:t>Locus</w:t>
            </w:r>
          </w:p>
        </w:tc>
        <w:tc>
          <w:tcPr>
            <w:tcW w:w="1371" w:type="pct"/>
            <w:shd w:val="clear" w:color="auto" w:fill="auto"/>
            <w:vAlign w:val="center"/>
            <w:hideMark/>
          </w:tcPr>
          <w:p w14:paraId="66357C46" w14:textId="77777777" w:rsidR="0040483E" w:rsidRPr="0040483E" w:rsidRDefault="0040483E" w:rsidP="0040483E">
            <w:pPr>
              <w:pStyle w:val="TableContent"/>
              <w:jc w:val="center"/>
              <w:rPr>
                <w:lang w:eastAsia="zh-CN"/>
              </w:rPr>
            </w:pPr>
            <w:r w:rsidRPr="0040483E">
              <w:rPr>
                <w:lang w:eastAsia="zh-CN"/>
              </w:rPr>
              <w:t>Genotype</w:t>
            </w:r>
          </w:p>
        </w:tc>
        <w:tc>
          <w:tcPr>
            <w:tcW w:w="1371" w:type="pct"/>
            <w:shd w:val="clear" w:color="auto" w:fill="auto"/>
            <w:vAlign w:val="center"/>
            <w:hideMark/>
          </w:tcPr>
          <w:p w14:paraId="2CED7660" w14:textId="77777777" w:rsidR="0040483E" w:rsidRPr="0040483E" w:rsidRDefault="0040483E" w:rsidP="0040483E">
            <w:pPr>
              <w:pStyle w:val="TableContent"/>
              <w:jc w:val="center"/>
              <w:rPr>
                <w:lang w:eastAsia="zh-CN"/>
              </w:rPr>
            </w:pPr>
            <w:r w:rsidRPr="0040483E">
              <w:rPr>
                <w:i/>
                <w:iCs/>
                <w:lang w:eastAsia="zh-CN"/>
              </w:rPr>
              <w:t>n</w:t>
            </w:r>
          </w:p>
        </w:tc>
        <w:tc>
          <w:tcPr>
            <w:tcW w:w="966" w:type="pct"/>
            <w:shd w:val="clear" w:color="auto" w:fill="auto"/>
            <w:vAlign w:val="center"/>
            <w:hideMark/>
          </w:tcPr>
          <w:p w14:paraId="2CE31EC3" w14:textId="77777777" w:rsidR="0040483E" w:rsidRPr="0040483E" w:rsidRDefault="0040483E" w:rsidP="0040483E">
            <w:pPr>
              <w:pStyle w:val="TableContent"/>
              <w:jc w:val="center"/>
              <w:rPr>
                <w:lang w:eastAsia="zh-CN"/>
              </w:rPr>
            </w:pPr>
            <w:r w:rsidRPr="0040483E">
              <w:rPr>
                <w:i/>
                <w:iCs/>
                <w:lang w:eastAsia="zh-CN"/>
              </w:rPr>
              <w:t>n</w:t>
            </w:r>
          </w:p>
        </w:tc>
      </w:tr>
      <w:tr w:rsidR="0040483E" w:rsidRPr="0040483E" w14:paraId="429B54C1" w14:textId="77777777" w:rsidTr="0040483E">
        <w:trPr>
          <w:tblCellSpacing w:w="15" w:type="dxa"/>
          <w:jc w:val="center"/>
        </w:trPr>
        <w:tc>
          <w:tcPr>
            <w:tcW w:w="1127" w:type="pct"/>
            <w:shd w:val="clear" w:color="auto" w:fill="auto"/>
            <w:vAlign w:val="center"/>
            <w:hideMark/>
          </w:tcPr>
          <w:p w14:paraId="0340F7A8"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6E69A41F" w14:textId="77777777" w:rsidR="0040483E" w:rsidRPr="0040483E" w:rsidRDefault="0040483E" w:rsidP="0040483E">
            <w:pPr>
              <w:pStyle w:val="TableContent"/>
              <w:jc w:val="center"/>
              <w:rPr>
                <w:lang w:eastAsia="zh-CN"/>
              </w:rPr>
            </w:pPr>
            <w:r w:rsidRPr="0040483E">
              <w:rPr>
                <w:lang w:eastAsia="zh-CN"/>
              </w:rPr>
              <w:t>SS</w:t>
            </w:r>
          </w:p>
        </w:tc>
        <w:tc>
          <w:tcPr>
            <w:tcW w:w="1371" w:type="pct"/>
            <w:shd w:val="clear" w:color="auto" w:fill="auto"/>
            <w:vAlign w:val="center"/>
            <w:hideMark/>
          </w:tcPr>
          <w:p w14:paraId="65CA2D07" w14:textId="77777777" w:rsidR="0040483E" w:rsidRPr="0040483E" w:rsidRDefault="0040483E" w:rsidP="0040483E">
            <w:pPr>
              <w:pStyle w:val="TableContent"/>
              <w:jc w:val="center"/>
              <w:rPr>
                <w:lang w:eastAsia="zh-CN"/>
              </w:rPr>
            </w:pPr>
            <w:r w:rsidRPr="0040483E">
              <w:rPr>
                <w:lang w:eastAsia="zh-CN"/>
              </w:rPr>
              <w:t>37</w:t>
            </w:r>
          </w:p>
        </w:tc>
        <w:tc>
          <w:tcPr>
            <w:tcW w:w="966" w:type="pct"/>
            <w:shd w:val="clear" w:color="auto" w:fill="auto"/>
            <w:vAlign w:val="center"/>
            <w:hideMark/>
          </w:tcPr>
          <w:p w14:paraId="182E4860" w14:textId="77777777" w:rsidR="0040483E" w:rsidRPr="0040483E" w:rsidRDefault="0040483E" w:rsidP="0040483E">
            <w:pPr>
              <w:pStyle w:val="TableContent"/>
              <w:jc w:val="center"/>
              <w:rPr>
                <w:lang w:eastAsia="zh-CN"/>
              </w:rPr>
            </w:pPr>
            <w:r w:rsidRPr="0040483E">
              <w:rPr>
                <w:lang w:eastAsia="zh-CN"/>
              </w:rPr>
              <w:t>3</w:t>
            </w:r>
          </w:p>
        </w:tc>
      </w:tr>
      <w:tr w:rsidR="0040483E" w:rsidRPr="0040483E" w14:paraId="537AEB5A" w14:textId="77777777" w:rsidTr="0040483E">
        <w:trPr>
          <w:tblCellSpacing w:w="15" w:type="dxa"/>
          <w:jc w:val="center"/>
        </w:trPr>
        <w:tc>
          <w:tcPr>
            <w:tcW w:w="1127" w:type="pct"/>
            <w:shd w:val="clear" w:color="auto" w:fill="auto"/>
            <w:vAlign w:val="center"/>
            <w:hideMark/>
          </w:tcPr>
          <w:p w14:paraId="5C0F4DB3" w14:textId="77777777" w:rsidR="0040483E" w:rsidRPr="0040483E" w:rsidRDefault="0040483E" w:rsidP="0040483E">
            <w:pPr>
              <w:pStyle w:val="TableContent"/>
              <w:jc w:val="center"/>
              <w:rPr>
                <w:lang w:eastAsia="zh-CN"/>
              </w:rPr>
            </w:pPr>
            <w:r w:rsidRPr="0040483E">
              <w:rPr>
                <w:lang w:eastAsia="zh-CN"/>
              </w:rPr>
              <w:t>EST</w:t>
            </w:r>
          </w:p>
        </w:tc>
        <w:tc>
          <w:tcPr>
            <w:tcW w:w="1371" w:type="pct"/>
            <w:shd w:val="clear" w:color="auto" w:fill="auto"/>
            <w:vAlign w:val="center"/>
            <w:hideMark/>
          </w:tcPr>
          <w:p w14:paraId="5224A0D8" w14:textId="77777777" w:rsidR="0040483E" w:rsidRPr="0040483E" w:rsidRDefault="0040483E" w:rsidP="0040483E">
            <w:pPr>
              <w:pStyle w:val="TableContent"/>
              <w:jc w:val="center"/>
              <w:rPr>
                <w:lang w:eastAsia="zh-CN"/>
              </w:rPr>
            </w:pPr>
            <w:r w:rsidRPr="0040483E">
              <w:rPr>
                <w:lang w:eastAsia="zh-CN"/>
              </w:rPr>
              <w:t>SF</w:t>
            </w:r>
          </w:p>
        </w:tc>
        <w:tc>
          <w:tcPr>
            <w:tcW w:w="1371" w:type="pct"/>
            <w:shd w:val="clear" w:color="auto" w:fill="auto"/>
            <w:vAlign w:val="center"/>
            <w:hideMark/>
          </w:tcPr>
          <w:p w14:paraId="623B6FFC" w14:textId="77777777" w:rsidR="0040483E" w:rsidRPr="0040483E" w:rsidRDefault="0040483E" w:rsidP="0040483E">
            <w:pPr>
              <w:pStyle w:val="TableContent"/>
              <w:jc w:val="center"/>
              <w:rPr>
                <w:lang w:eastAsia="zh-CN"/>
              </w:rPr>
            </w:pPr>
            <w:r w:rsidRPr="0040483E">
              <w:rPr>
                <w:lang w:eastAsia="zh-CN"/>
              </w:rPr>
              <w:t>20</w:t>
            </w:r>
          </w:p>
        </w:tc>
        <w:tc>
          <w:tcPr>
            <w:tcW w:w="966" w:type="pct"/>
            <w:shd w:val="clear" w:color="auto" w:fill="auto"/>
            <w:vAlign w:val="center"/>
            <w:hideMark/>
          </w:tcPr>
          <w:p w14:paraId="1D43F782" w14:textId="77777777" w:rsidR="0040483E" w:rsidRPr="0040483E" w:rsidRDefault="0040483E" w:rsidP="0040483E">
            <w:pPr>
              <w:pStyle w:val="TableContent"/>
              <w:jc w:val="center"/>
              <w:rPr>
                <w:lang w:eastAsia="zh-CN"/>
              </w:rPr>
            </w:pPr>
            <w:r w:rsidRPr="0040483E">
              <w:rPr>
                <w:lang w:eastAsia="zh-CN"/>
              </w:rPr>
              <w:t>3</w:t>
            </w:r>
          </w:p>
        </w:tc>
      </w:tr>
      <w:tr w:rsidR="0040483E" w:rsidRPr="0040483E" w14:paraId="2EEE0054" w14:textId="77777777" w:rsidTr="0040483E">
        <w:trPr>
          <w:tblCellSpacing w:w="15" w:type="dxa"/>
          <w:jc w:val="center"/>
        </w:trPr>
        <w:tc>
          <w:tcPr>
            <w:tcW w:w="1127" w:type="pct"/>
            <w:shd w:val="clear" w:color="auto" w:fill="auto"/>
            <w:vAlign w:val="center"/>
            <w:hideMark/>
          </w:tcPr>
          <w:p w14:paraId="2DA3AD38"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7B3908CB" w14:textId="77777777" w:rsidR="0040483E" w:rsidRPr="0040483E" w:rsidRDefault="0040483E" w:rsidP="0040483E">
            <w:pPr>
              <w:pStyle w:val="TableContent"/>
              <w:jc w:val="center"/>
              <w:rPr>
                <w:lang w:eastAsia="zh-CN"/>
              </w:rPr>
            </w:pPr>
            <w:r w:rsidRPr="0040483E">
              <w:rPr>
                <w:lang w:eastAsia="zh-CN"/>
              </w:rPr>
              <w:t>FF</w:t>
            </w:r>
          </w:p>
        </w:tc>
        <w:tc>
          <w:tcPr>
            <w:tcW w:w="1371" w:type="pct"/>
            <w:shd w:val="clear" w:color="auto" w:fill="auto"/>
            <w:vAlign w:val="center"/>
            <w:hideMark/>
          </w:tcPr>
          <w:p w14:paraId="56135093" w14:textId="77777777" w:rsidR="0040483E" w:rsidRPr="0040483E" w:rsidRDefault="0040483E" w:rsidP="0040483E">
            <w:pPr>
              <w:pStyle w:val="TableContent"/>
              <w:jc w:val="center"/>
              <w:rPr>
                <w:lang w:eastAsia="zh-CN"/>
              </w:rPr>
            </w:pPr>
            <w:r w:rsidRPr="0040483E">
              <w:rPr>
                <w:lang w:eastAsia="zh-CN"/>
              </w:rPr>
              <w:t>7</w:t>
            </w:r>
          </w:p>
        </w:tc>
        <w:tc>
          <w:tcPr>
            <w:tcW w:w="966" w:type="pct"/>
            <w:shd w:val="clear" w:color="auto" w:fill="auto"/>
            <w:vAlign w:val="center"/>
            <w:hideMark/>
          </w:tcPr>
          <w:p w14:paraId="3E0708EB" w14:textId="77777777" w:rsidR="0040483E" w:rsidRPr="0040483E" w:rsidRDefault="0040483E" w:rsidP="0040483E">
            <w:pPr>
              <w:pStyle w:val="TableContent"/>
              <w:jc w:val="center"/>
              <w:rPr>
                <w:lang w:eastAsia="zh-CN"/>
              </w:rPr>
            </w:pPr>
            <w:r w:rsidRPr="0040483E">
              <w:rPr>
                <w:lang w:eastAsia="zh-CN"/>
              </w:rPr>
              <w:t>2</w:t>
            </w:r>
          </w:p>
        </w:tc>
      </w:tr>
      <w:tr w:rsidR="0040483E" w:rsidRPr="0040483E" w14:paraId="0956281D" w14:textId="77777777" w:rsidTr="0040483E">
        <w:trPr>
          <w:tblCellSpacing w:w="15" w:type="dxa"/>
          <w:jc w:val="center"/>
        </w:trPr>
        <w:tc>
          <w:tcPr>
            <w:tcW w:w="1127" w:type="pct"/>
            <w:shd w:val="clear" w:color="auto" w:fill="auto"/>
            <w:vAlign w:val="center"/>
            <w:hideMark/>
          </w:tcPr>
          <w:p w14:paraId="7B8F7200"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491561E3" w14:textId="77777777" w:rsidR="0040483E" w:rsidRPr="0040483E" w:rsidRDefault="0040483E" w:rsidP="0040483E">
            <w:pPr>
              <w:pStyle w:val="TableContent"/>
              <w:jc w:val="center"/>
              <w:rPr>
                <w:lang w:eastAsia="zh-CN"/>
              </w:rPr>
            </w:pPr>
            <w:r w:rsidRPr="0040483E">
              <w:rPr>
                <w:lang w:eastAsia="zh-CN"/>
              </w:rPr>
              <w:t>SS</w:t>
            </w:r>
          </w:p>
        </w:tc>
        <w:tc>
          <w:tcPr>
            <w:tcW w:w="1371" w:type="pct"/>
            <w:shd w:val="clear" w:color="auto" w:fill="auto"/>
            <w:vAlign w:val="center"/>
            <w:hideMark/>
          </w:tcPr>
          <w:p w14:paraId="54590CEB" w14:textId="77777777" w:rsidR="0040483E" w:rsidRPr="0040483E" w:rsidRDefault="0040483E" w:rsidP="0040483E">
            <w:pPr>
              <w:pStyle w:val="TableContent"/>
              <w:jc w:val="center"/>
              <w:rPr>
                <w:lang w:eastAsia="zh-CN"/>
              </w:rPr>
            </w:pPr>
            <w:r w:rsidRPr="0040483E">
              <w:rPr>
                <w:lang w:eastAsia="zh-CN"/>
              </w:rPr>
              <w:t>48</w:t>
            </w:r>
          </w:p>
        </w:tc>
        <w:tc>
          <w:tcPr>
            <w:tcW w:w="966" w:type="pct"/>
            <w:shd w:val="clear" w:color="auto" w:fill="auto"/>
            <w:vAlign w:val="center"/>
            <w:hideMark/>
          </w:tcPr>
          <w:p w14:paraId="775169D6" w14:textId="77777777" w:rsidR="0040483E" w:rsidRPr="0040483E" w:rsidRDefault="0040483E" w:rsidP="0040483E">
            <w:pPr>
              <w:pStyle w:val="TableContent"/>
              <w:jc w:val="center"/>
              <w:rPr>
                <w:lang w:eastAsia="zh-CN"/>
              </w:rPr>
            </w:pPr>
            <w:r w:rsidRPr="0040483E">
              <w:rPr>
                <w:lang w:eastAsia="zh-CN"/>
              </w:rPr>
              <w:t>7</w:t>
            </w:r>
          </w:p>
        </w:tc>
      </w:tr>
      <w:tr w:rsidR="0040483E" w:rsidRPr="0040483E" w14:paraId="248BA2F0" w14:textId="77777777" w:rsidTr="0040483E">
        <w:trPr>
          <w:tblCellSpacing w:w="15" w:type="dxa"/>
          <w:jc w:val="center"/>
        </w:trPr>
        <w:tc>
          <w:tcPr>
            <w:tcW w:w="1127" w:type="pct"/>
            <w:shd w:val="clear" w:color="auto" w:fill="auto"/>
            <w:vAlign w:val="center"/>
            <w:hideMark/>
          </w:tcPr>
          <w:p w14:paraId="494D8D44" w14:textId="77777777" w:rsidR="0040483E" w:rsidRPr="0040483E" w:rsidRDefault="0040483E" w:rsidP="0040483E">
            <w:pPr>
              <w:pStyle w:val="TableContent"/>
              <w:jc w:val="center"/>
              <w:rPr>
                <w:lang w:eastAsia="zh-CN"/>
              </w:rPr>
            </w:pPr>
            <w:r w:rsidRPr="0040483E">
              <w:rPr>
                <w:lang w:eastAsia="zh-CN"/>
              </w:rPr>
              <w:t>ICD</w:t>
            </w:r>
          </w:p>
        </w:tc>
        <w:tc>
          <w:tcPr>
            <w:tcW w:w="1371" w:type="pct"/>
            <w:shd w:val="clear" w:color="auto" w:fill="auto"/>
            <w:vAlign w:val="center"/>
            <w:hideMark/>
          </w:tcPr>
          <w:p w14:paraId="3F315467" w14:textId="77777777" w:rsidR="0040483E" w:rsidRPr="0040483E" w:rsidRDefault="0040483E" w:rsidP="0040483E">
            <w:pPr>
              <w:pStyle w:val="TableContent"/>
              <w:jc w:val="center"/>
              <w:rPr>
                <w:lang w:eastAsia="zh-CN"/>
              </w:rPr>
            </w:pPr>
            <w:r w:rsidRPr="0040483E">
              <w:rPr>
                <w:lang w:eastAsia="zh-CN"/>
              </w:rPr>
              <w:t>SF</w:t>
            </w:r>
          </w:p>
        </w:tc>
        <w:tc>
          <w:tcPr>
            <w:tcW w:w="1371" w:type="pct"/>
            <w:shd w:val="clear" w:color="auto" w:fill="auto"/>
            <w:vAlign w:val="center"/>
            <w:hideMark/>
          </w:tcPr>
          <w:p w14:paraId="627FC011" w14:textId="77777777" w:rsidR="0040483E" w:rsidRPr="0040483E" w:rsidRDefault="0040483E" w:rsidP="0040483E">
            <w:pPr>
              <w:pStyle w:val="TableContent"/>
              <w:jc w:val="center"/>
              <w:rPr>
                <w:lang w:eastAsia="zh-CN"/>
              </w:rPr>
            </w:pPr>
            <w:r w:rsidRPr="0040483E">
              <w:rPr>
                <w:lang w:eastAsia="zh-CN"/>
              </w:rPr>
              <w:t>4</w:t>
            </w:r>
          </w:p>
        </w:tc>
        <w:tc>
          <w:tcPr>
            <w:tcW w:w="966" w:type="pct"/>
            <w:shd w:val="clear" w:color="auto" w:fill="auto"/>
            <w:vAlign w:val="center"/>
            <w:hideMark/>
          </w:tcPr>
          <w:p w14:paraId="59F84569" w14:textId="77777777" w:rsidR="0040483E" w:rsidRPr="0040483E" w:rsidRDefault="0040483E" w:rsidP="0040483E">
            <w:pPr>
              <w:pStyle w:val="TableContent"/>
              <w:jc w:val="center"/>
              <w:rPr>
                <w:lang w:eastAsia="zh-CN"/>
              </w:rPr>
            </w:pPr>
            <w:r w:rsidRPr="0040483E">
              <w:rPr>
                <w:lang w:eastAsia="zh-CN"/>
              </w:rPr>
              <w:t>2</w:t>
            </w:r>
          </w:p>
        </w:tc>
      </w:tr>
      <w:tr w:rsidR="0040483E" w:rsidRPr="0040483E" w14:paraId="76FC7F5A" w14:textId="77777777" w:rsidTr="0040483E">
        <w:trPr>
          <w:tblCellSpacing w:w="15" w:type="dxa"/>
          <w:jc w:val="center"/>
        </w:trPr>
        <w:tc>
          <w:tcPr>
            <w:tcW w:w="1127" w:type="pct"/>
            <w:shd w:val="clear" w:color="auto" w:fill="auto"/>
            <w:vAlign w:val="center"/>
            <w:hideMark/>
          </w:tcPr>
          <w:p w14:paraId="1BF6AA34"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60EC5EA3" w14:textId="77777777" w:rsidR="0040483E" w:rsidRPr="0040483E" w:rsidRDefault="0040483E" w:rsidP="0040483E">
            <w:pPr>
              <w:pStyle w:val="TableContent"/>
              <w:jc w:val="center"/>
              <w:rPr>
                <w:lang w:eastAsia="zh-CN"/>
              </w:rPr>
            </w:pPr>
            <w:r w:rsidRPr="0040483E">
              <w:rPr>
                <w:lang w:eastAsia="zh-CN"/>
              </w:rPr>
              <w:t>FF</w:t>
            </w:r>
          </w:p>
        </w:tc>
        <w:tc>
          <w:tcPr>
            <w:tcW w:w="1371" w:type="pct"/>
            <w:shd w:val="clear" w:color="auto" w:fill="auto"/>
            <w:vAlign w:val="center"/>
            <w:hideMark/>
          </w:tcPr>
          <w:p w14:paraId="66F77392" w14:textId="77777777" w:rsidR="0040483E" w:rsidRPr="0040483E" w:rsidRDefault="0040483E" w:rsidP="0040483E">
            <w:pPr>
              <w:pStyle w:val="TableContent"/>
              <w:jc w:val="center"/>
              <w:rPr>
                <w:lang w:eastAsia="zh-CN"/>
              </w:rPr>
            </w:pPr>
            <w:r w:rsidRPr="0040483E">
              <w:rPr>
                <w:lang w:eastAsia="zh-CN"/>
              </w:rPr>
              <w:t>3</w:t>
            </w:r>
          </w:p>
        </w:tc>
        <w:tc>
          <w:tcPr>
            <w:tcW w:w="966" w:type="pct"/>
            <w:shd w:val="clear" w:color="auto" w:fill="auto"/>
            <w:vAlign w:val="center"/>
            <w:hideMark/>
          </w:tcPr>
          <w:p w14:paraId="3E199882" w14:textId="77777777" w:rsidR="0040483E" w:rsidRPr="0040483E" w:rsidRDefault="0040483E" w:rsidP="0040483E">
            <w:pPr>
              <w:pStyle w:val="TableContent"/>
              <w:jc w:val="center"/>
              <w:rPr>
                <w:lang w:eastAsia="zh-CN"/>
              </w:rPr>
            </w:pPr>
            <w:r w:rsidRPr="0040483E">
              <w:rPr>
                <w:lang w:eastAsia="zh-CN"/>
              </w:rPr>
              <w:t>0</w:t>
            </w:r>
          </w:p>
        </w:tc>
      </w:tr>
      <w:tr w:rsidR="0040483E" w:rsidRPr="0040483E" w14:paraId="718945CE" w14:textId="77777777" w:rsidTr="0040483E">
        <w:trPr>
          <w:tblCellSpacing w:w="15" w:type="dxa"/>
          <w:jc w:val="center"/>
        </w:trPr>
        <w:tc>
          <w:tcPr>
            <w:tcW w:w="1127" w:type="pct"/>
            <w:shd w:val="clear" w:color="auto" w:fill="auto"/>
            <w:vAlign w:val="center"/>
            <w:hideMark/>
          </w:tcPr>
          <w:p w14:paraId="4FAE8E83"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769E2A4D" w14:textId="77777777" w:rsidR="0040483E" w:rsidRPr="0040483E" w:rsidRDefault="0040483E" w:rsidP="0040483E">
            <w:pPr>
              <w:pStyle w:val="TableContent"/>
              <w:jc w:val="center"/>
              <w:rPr>
                <w:lang w:eastAsia="zh-CN"/>
              </w:rPr>
            </w:pPr>
            <w:r w:rsidRPr="0040483E">
              <w:rPr>
                <w:lang w:eastAsia="zh-CN"/>
              </w:rPr>
              <w:t>SS</w:t>
            </w:r>
          </w:p>
        </w:tc>
        <w:tc>
          <w:tcPr>
            <w:tcW w:w="1371" w:type="pct"/>
            <w:shd w:val="clear" w:color="auto" w:fill="auto"/>
            <w:vAlign w:val="center"/>
            <w:hideMark/>
          </w:tcPr>
          <w:p w14:paraId="2CC9CFB3" w14:textId="77777777" w:rsidR="0040483E" w:rsidRPr="0040483E" w:rsidRDefault="0040483E" w:rsidP="0040483E">
            <w:pPr>
              <w:pStyle w:val="TableContent"/>
              <w:jc w:val="center"/>
              <w:rPr>
                <w:lang w:eastAsia="zh-CN"/>
              </w:rPr>
            </w:pPr>
            <w:r w:rsidRPr="0040483E">
              <w:rPr>
                <w:lang w:eastAsia="zh-CN"/>
              </w:rPr>
              <w:t>20</w:t>
            </w:r>
          </w:p>
        </w:tc>
        <w:tc>
          <w:tcPr>
            <w:tcW w:w="966" w:type="pct"/>
            <w:shd w:val="clear" w:color="auto" w:fill="auto"/>
            <w:vAlign w:val="center"/>
            <w:hideMark/>
          </w:tcPr>
          <w:p w14:paraId="5531C617" w14:textId="77777777" w:rsidR="0040483E" w:rsidRPr="0040483E" w:rsidRDefault="0040483E" w:rsidP="0040483E">
            <w:pPr>
              <w:pStyle w:val="TableContent"/>
              <w:jc w:val="center"/>
              <w:rPr>
                <w:lang w:eastAsia="zh-CN"/>
              </w:rPr>
            </w:pPr>
            <w:r w:rsidRPr="0040483E">
              <w:rPr>
                <w:lang w:eastAsia="zh-CN"/>
              </w:rPr>
              <w:t>3</w:t>
            </w:r>
          </w:p>
        </w:tc>
      </w:tr>
      <w:tr w:rsidR="0040483E" w:rsidRPr="0040483E" w14:paraId="59565FFE" w14:textId="77777777" w:rsidTr="0040483E">
        <w:trPr>
          <w:tblCellSpacing w:w="15" w:type="dxa"/>
          <w:jc w:val="center"/>
        </w:trPr>
        <w:tc>
          <w:tcPr>
            <w:tcW w:w="1127" w:type="pct"/>
            <w:shd w:val="clear" w:color="auto" w:fill="auto"/>
            <w:vAlign w:val="center"/>
            <w:hideMark/>
          </w:tcPr>
          <w:p w14:paraId="3A47EDCB" w14:textId="77777777" w:rsidR="0040483E" w:rsidRPr="0040483E" w:rsidRDefault="0040483E" w:rsidP="0040483E">
            <w:pPr>
              <w:pStyle w:val="TableContent"/>
              <w:jc w:val="center"/>
              <w:rPr>
                <w:lang w:eastAsia="zh-CN"/>
              </w:rPr>
            </w:pPr>
            <w:r w:rsidRPr="0040483E">
              <w:rPr>
                <w:lang w:eastAsia="zh-CN"/>
              </w:rPr>
              <w:t>LA</w:t>
            </w:r>
          </w:p>
        </w:tc>
        <w:tc>
          <w:tcPr>
            <w:tcW w:w="1371" w:type="pct"/>
            <w:shd w:val="clear" w:color="auto" w:fill="auto"/>
            <w:vAlign w:val="center"/>
            <w:hideMark/>
          </w:tcPr>
          <w:p w14:paraId="747A4542" w14:textId="77777777" w:rsidR="0040483E" w:rsidRPr="0040483E" w:rsidRDefault="0040483E" w:rsidP="0040483E">
            <w:pPr>
              <w:pStyle w:val="TableContent"/>
              <w:jc w:val="center"/>
              <w:rPr>
                <w:lang w:eastAsia="zh-CN"/>
              </w:rPr>
            </w:pPr>
            <w:r w:rsidRPr="0040483E">
              <w:rPr>
                <w:lang w:eastAsia="zh-CN"/>
              </w:rPr>
              <w:t>SF</w:t>
            </w:r>
          </w:p>
        </w:tc>
        <w:tc>
          <w:tcPr>
            <w:tcW w:w="1371" w:type="pct"/>
            <w:shd w:val="clear" w:color="auto" w:fill="auto"/>
            <w:vAlign w:val="center"/>
            <w:hideMark/>
          </w:tcPr>
          <w:p w14:paraId="11BFDDE1" w14:textId="77777777" w:rsidR="0040483E" w:rsidRPr="0040483E" w:rsidRDefault="0040483E" w:rsidP="0040483E">
            <w:pPr>
              <w:pStyle w:val="TableContent"/>
              <w:jc w:val="center"/>
              <w:rPr>
                <w:lang w:eastAsia="zh-CN"/>
              </w:rPr>
            </w:pPr>
            <w:r w:rsidRPr="0040483E">
              <w:rPr>
                <w:lang w:eastAsia="zh-CN"/>
              </w:rPr>
              <w:t>11</w:t>
            </w:r>
          </w:p>
        </w:tc>
        <w:tc>
          <w:tcPr>
            <w:tcW w:w="966" w:type="pct"/>
            <w:shd w:val="clear" w:color="auto" w:fill="auto"/>
            <w:vAlign w:val="center"/>
            <w:hideMark/>
          </w:tcPr>
          <w:p w14:paraId="08AFBF9B" w14:textId="77777777" w:rsidR="0040483E" w:rsidRPr="0040483E" w:rsidRDefault="0040483E" w:rsidP="0040483E">
            <w:pPr>
              <w:pStyle w:val="TableContent"/>
              <w:jc w:val="center"/>
              <w:rPr>
                <w:lang w:eastAsia="zh-CN"/>
              </w:rPr>
            </w:pPr>
            <w:r w:rsidRPr="0040483E">
              <w:rPr>
                <w:lang w:eastAsia="zh-CN"/>
              </w:rPr>
              <w:t>2</w:t>
            </w:r>
          </w:p>
        </w:tc>
      </w:tr>
      <w:tr w:rsidR="0040483E" w:rsidRPr="0040483E" w14:paraId="504D6918" w14:textId="77777777" w:rsidTr="0040483E">
        <w:trPr>
          <w:tblCellSpacing w:w="15" w:type="dxa"/>
          <w:jc w:val="center"/>
        </w:trPr>
        <w:tc>
          <w:tcPr>
            <w:tcW w:w="1127" w:type="pct"/>
            <w:shd w:val="clear" w:color="auto" w:fill="auto"/>
            <w:vAlign w:val="center"/>
            <w:hideMark/>
          </w:tcPr>
          <w:p w14:paraId="61AD8670"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590B577E" w14:textId="77777777" w:rsidR="0040483E" w:rsidRPr="0040483E" w:rsidRDefault="0040483E" w:rsidP="0040483E">
            <w:pPr>
              <w:pStyle w:val="TableContent"/>
              <w:jc w:val="center"/>
              <w:rPr>
                <w:lang w:eastAsia="zh-CN"/>
              </w:rPr>
            </w:pPr>
            <w:r w:rsidRPr="0040483E">
              <w:rPr>
                <w:lang w:eastAsia="zh-CN"/>
              </w:rPr>
              <w:t>FF</w:t>
            </w:r>
          </w:p>
        </w:tc>
        <w:tc>
          <w:tcPr>
            <w:tcW w:w="1371" w:type="pct"/>
            <w:shd w:val="clear" w:color="auto" w:fill="auto"/>
            <w:vAlign w:val="center"/>
            <w:hideMark/>
          </w:tcPr>
          <w:p w14:paraId="232870B1" w14:textId="77777777" w:rsidR="0040483E" w:rsidRPr="0040483E" w:rsidRDefault="0040483E" w:rsidP="0040483E">
            <w:pPr>
              <w:pStyle w:val="TableContent"/>
              <w:jc w:val="center"/>
              <w:rPr>
                <w:lang w:eastAsia="zh-CN"/>
              </w:rPr>
            </w:pPr>
            <w:r w:rsidRPr="0040483E">
              <w:rPr>
                <w:lang w:eastAsia="zh-CN"/>
              </w:rPr>
              <w:t>2</w:t>
            </w:r>
          </w:p>
        </w:tc>
        <w:tc>
          <w:tcPr>
            <w:tcW w:w="966" w:type="pct"/>
            <w:shd w:val="clear" w:color="auto" w:fill="auto"/>
            <w:vAlign w:val="center"/>
            <w:hideMark/>
          </w:tcPr>
          <w:p w14:paraId="6177E9B3" w14:textId="77777777" w:rsidR="0040483E" w:rsidRPr="0040483E" w:rsidRDefault="0040483E" w:rsidP="0040483E">
            <w:pPr>
              <w:pStyle w:val="TableContent"/>
              <w:jc w:val="center"/>
              <w:rPr>
                <w:lang w:eastAsia="zh-CN"/>
              </w:rPr>
            </w:pPr>
            <w:r w:rsidRPr="0040483E">
              <w:rPr>
                <w:lang w:eastAsia="zh-CN"/>
              </w:rPr>
              <w:t>3</w:t>
            </w:r>
          </w:p>
        </w:tc>
      </w:tr>
      <w:tr w:rsidR="0040483E" w:rsidRPr="0040483E" w14:paraId="2BCE8C45" w14:textId="77777777" w:rsidTr="0040483E">
        <w:trPr>
          <w:tblCellSpacing w:w="15" w:type="dxa"/>
          <w:jc w:val="center"/>
        </w:trPr>
        <w:tc>
          <w:tcPr>
            <w:tcW w:w="1127" w:type="pct"/>
            <w:shd w:val="clear" w:color="auto" w:fill="auto"/>
            <w:vAlign w:val="center"/>
            <w:hideMark/>
          </w:tcPr>
          <w:p w14:paraId="44C59B3B"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6BE0F448" w14:textId="77777777" w:rsidR="0040483E" w:rsidRPr="0040483E" w:rsidRDefault="0040483E" w:rsidP="0040483E">
            <w:pPr>
              <w:pStyle w:val="TableContent"/>
              <w:jc w:val="center"/>
              <w:rPr>
                <w:lang w:eastAsia="zh-CN"/>
              </w:rPr>
            </w:pPr>
            <w:r w:rsidRPr="0040483E">
              <w:rPr>
                <w:lang w:eastAsia="zh-CN"/>
              </w:rPr>
              <w:t>SS</w:t>
            </w:r>
          </w:p>
        </w:tc>
        <w:tc>
          <w:tcPr>
            <w:tcW w:w="1371" w:type="pct"/>
            <w:shd w:val="clear" w:color="auto" w:fill="auto"/>
            <w:vAlign w:val="center"/>
            <w:hideMark/>
          </w:tcPr>
          <w:p w14:paraId="300863CC" w14:textId="77777777" w:rsidR="0040483E" w:rsidRPr="0040483E" w:rsidRDefault="0040483E" w:rsidP="0040483E">
            <w:pPr>
              <w:pStyle w:val="TableContent"/>
              <w:jc w:val="center"/>
              <w:rPr>
                <w:lang w:eastAsia="zh-CN"/>
              </w:rPr>
            </w:pPr>
            <w:r w:rsidRPr="0040483E">
              <w:rPr>
                <w:lang w:eastAsia="zh-CN"/>
              </w:rPr>
              <w:t>16</w:t>
            </w:r>
          </w:p>
        </w:tc>
        <w:tc>
          <w:tcPr>
            <w:tcW w:w="966" w:type="pct"/>
            <w:shd w:val="clear" w:color="auto" w:fill="auto"/>
            <w:vAlign w:val="center"/>
            <w:hideMark/>
          </w:tcPr>
          <w:p w14:paraId="4CE9437A" w14:textId="77777777" w:rsidR="0040483E" w:rsidRPr="0040483E" w:rsidRDefault="0040483E" w:rsidP="0040483E">
            <w:pPr>
              <w:pStyle w:val="TableContent"/>
              <w:jc w:val="center"/>
              <w:rPr>
                <w:lang w:eastAsia="zh-CN"/>
              </w:rPr>
            </w:pPr>
            <w:r w:rsidRPr="0040483E">
              <w:rPr>
                <w:lang w:eastAsia="zh-CN"/>
              </w:rPr>
              <w:t>1</w:t>
            </w:r>
          </w:p>
        </w:tc>
      </w:tr>
      <w:tr w:rsidR="0040483E" w:rsidRPr="0040483E" w14:paraId="6D36E11A" w14:textId="77777777" w:rsidTr="0040483E">
        <w:trPr>
          <w:tblCellSpacing w:w="15" w:type="dxa"/>
          <w:jc w:val="center"/>
        </w:trPr>
        <w:tc>
          <w:tcPr>
            <w:tcW w:w="1127" w:type="pct"/>
            <w:shd w:val="clear" w:color="auto" w:fill="auto"/>
            <w:vAlign w:val="center"/>
            <w:hideMark/>
          </w:tcPr>
          <w:p w14:paraId="2DE7EA97" w14:textId="77777777" w:rsidR="0040483E" w:rsidRPr="0040483E" w:rsidRDefault="0040483E" w:rsidP="0040483E">
            <w:pPr>
              <w:pStyle w:val="TableContent"/>
              <w:jc w:val="center"/>
              <w:rPr>
                <w:lang w:eastAsia="zh-CN"/>
              </w:rPr>
            </w:pPr>
            <w:r w:rsidRPr="0040483E">
              <w:rPr>
                <w:lang w:eastAsia="zh-CN"/>
              </w:rPr>
              <w:t>PAP</w:t>
            </w:r>
          </w:p>
        </w:tc>
        <w:tc>
          <w:tcPr>
            <w:tcW w:w="1371" w:type="pct"/>
            <w:shd w:val="clear" w:color="auto" w:fill="auto"/>
            <w:vAlign w:val="center"/>
            <w:hideMark/>
          </w:tcPr>
          <w:p w14:paraId="351F6D2F" w14:textId="77777777" w:rsidR="0040483E" w:rsidRPr="0040483E" w:rsidRDefault="0040483E" w:rsidP="0040483E">
            <w:pPr>
              <w:pStyle w:val="TableContent"/>
              <w:jc w:val="center"/>
              <w:rPr>
                <w:lang w:eastAsia="zh-CN"/>
              </w:rPr>
            </w:pPr>
            <w:r w:rsidRPr="0040483E">
              <w:rPr>
                <w:lang w:eastAsia="zh-CN"/>
              </w:rPr>
              <w:t>SF</w:t>
            </w:r>
          </w:p>
        </w:tc>
        <w:tc>
          <w:tcPr>
            <w:tcW w:w="1371" w:type="pct"/>
            <w:shd w:val="clear" w:color="auto" w:fill="auto"/>
            <w:vAlign w:val="center"/>
            <w:hideMark/>
          </w:tcPr>
          <w:p w14:paraId="11AC851C" w14:textId="77777777" w:rsidR="0040483E" w:rsidRPr="0040483E" w:rsidRDefault="0040483E" w:rsidP="0040483E">
            <w:pPr>
              <w:pStyle w:val="TableContent"/>
              <w:jc w:val="center"/>
              <w:rPr>
                <w:lang w:eastAsia="zh-CN"/>
              </w:rPr>
            </w:pPr>
            <w:r w:rsidRPr="0040483E">
              <w:rPr>
                <w:lang w:eastAsia="zh-CN"/>
              </w:rPr>
              <w:t>7</w:t>
            </w:r>
          </w:p>
        </w:tc>
        <w:tc>
          <w:tcPr>
            <w:tcW w:w="966" w:type="pct"/>
            <w:shd w:val="clear" w:color="auto" w:fill="auto"/>
            <w:vAlign w:val="center"/>
            <w:hideMark/>
          </w:tcPr>
          <w:p w14:paraId="227B3F44" w14:textId="77777777" w:rsidR="0040483E" w:rsidRPr="0040483E" w:rsidRDefault="0040483E" w:rsidP="0040483E">
            <w:pPr>
              <w:pStyle w:val="TableContent"/>
              <w:jc w:val="center"/>
              <w:rPr>
                <w:lang w:eastAsia="zh-CN"/>
              </w:rPr>
            </w:pPr>
            <w:r w:rsidRPr="0040483E">
              <w:rPr>
                <w:lang w:eastAsia="zh-CN"/>
              </w:rPr>
              <w:t>3</w:t>
            </w:r>
          </w:p>
        </w:tc>
      </w:tr>
      <w:tr w:rsidR="0040483E" w:rsidRPr="0040483E" w14:paraId="0B18FA1D" w14:textId="77777777" w:rsidTr="0040483E">
        <w:trPr>
          <w:tblCellSpacing w:w="15" w:type="dxa"/>
          <w:jc w:val="center"/>
        </w:trPr>
        <w:tc>
          <w:tcPr>
            <w:tcW w:w="1127" w:type="pct"/>
            <w:shd w:val="clear" w:color="auto" w:fill="auto"/>
            <w:vAlign w:val="center"/>
            <w:hideMark/>
          </w:tcPr>
          <w:p w14:paraId="6D6694A2"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1361042A" w14:textId="77777777" w:rsidR="0040483E" w:rsidRPr="0040483E" w:rsidRDefault="0040483E" w:rsidP="0040483E">
            <w:pPr>
              <w:pStyle w:val="TableContent"/>
              <w:jc w:val="center"/>
              <w:rPr>
                <w:lang w:eastAsia="zh-CN"/>
              </w:rPr>
            </w:pPr>
            <w:r w:rsidRPr="0040483E">
              <w:rPr>
                <w:lang w:eastAsia="zh-CN"/>
              </w:rPr>
              <w:t>FF</w:t>
            </w:r>
          </w:p>
        </w:tc>
        <w:tc>
          <w:tcPr>
            <w:tcW w:w="1371" w:type="pct"/>
            <w:shd w:val="clear" w:color="auto" w:fill="auto"/>
            <w:vAlign w:val="center"/>
            <w:hideMark/>
          </w:tcPr>
          <w:p w14:paraId="0BE975BC" w14:textId="77777777" w:rsidR="0040483E" w:rsidRPr="0040483E" w:rsidRDefault="0040483E" w:rsidP="0040483E">
            <w:pPr>
              <w:pStyle w:val="TableContent"/>
              <w:jc w:val="center"/>
              <w:rPr>
                <w:lang w:eastAsia="zh-CN"/>
              </w:rPr>
            </w:pPr>
            <w:r w:rsidRPr="0040483E">
              <w:rPr>
                <w:lang w:eastAsia="zh-CN"/>
              </w:rPr>
              <w:t>10</w:t>
            </w:r>
          </w:p>
        </w:tc>
        <w:tc>
          <w:tcPr>
            <w:tcW w:w="966" w:type="pct"/>
            <w:shd w:val="clear" w:color="auto" w:fill="auto"/>
            <w:vAlign w:val="center"/>
            <w:hideMark/>
          </w:tcPr>
          <w:p w14:paraId="165662CC" w14:textId="77777777" w:rsidR="0040483E" w:rsidRPr="0040483E" w:rsidRDefault="0040483E" w:rsidP="0040483E">
            <w:pPr>
              <w:pStyle w:val="TableContent"/>
              <w:jc w:val="center"/>
              <w:rPr>
                <w:lang w:eastAsia="zh-CN"/>
              </w:rPr>
            </w:pPr>
            <w:r w:rsidRPr="0040483E">
              <w:rPr>
                <w:lang w:eastAsia="zh-CN"/>
              </w:rPr>
              <w:t>2</w:t>
            </w:r>
          </w:p>
        </w:tc>
      </w:tr>
      <w:tr w:rsidR="0040483E" w:rsidRPr="0040483E" w14:paraId="12F19FC1" w14:textId="77777777" w:rsidTr="0040483E">
        <w:trPr>
          <w:tblCellSpacing w:w="15" w:type="dxa"/>
          <w:jc w:val="center"/>
        </w:trPr>
        <w:tc>
          <w:tcPr>
            <w:tcW w:w="1127" w:type="pct"/>
            <w:shd w:val="clear" w:color="auto" w:fill="auto"/>
            <w:vAlign w:val="center"/>
            <w:hideMark/>
          </w:tcPr>
          <w:p w14:paraId="583FE162"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25B644F2" w14:textId="77777777" w:rsidR="0040483E" w:rsidRPr="0040483E" w:rsidRDefault="0040483E" w:rsidP="0040483E">
            <w:pPr>
              <w:pStyle w:val="TableContent"/>
              <w:jc w:val="center"/>
              <w:rPr>
                <w:lang w:eastAsia="zh-CN"/>
              </w:rPr>
            </w:pPr>
            <w:r w:rsidRPr="0040483E">
              <w:rPr>
                <w:lang w:eastAsia="zh-CN"/>
              </w:rPr>
              <w:t>SS</w:t>
            </w:r>
          </w:p>
        </w:tc>
        <w:tc>
          <w:tcPr>
            <w:tcW w:w="1371" w:type="pct"/>
            <w:shd w:val="clear" w:color="auto" w:fill="auto"/>
            <w:vAlign w:val="center"/>
            <w:hideMark/>
          </w:tcPr>
          <w:p w14:paraId="5C7FB14F" w14:textId="77777777" w:rsidR="0040483E" w:rsidRPr="0040483E" w:rsidRDefault="0040483E" w:rsidP="0040483E">
            <w:pPr>
              <w:pStyle w:val="TableContent"/>
              <w:jc w:val="center"/>
              <w:rPr>
                <w:lang w:eastAsia="zh-CN"/>
              </w:rPr>
            </w:pPr>
            <w:r w:rsidRPr="0040483E">
              <w:rPr>
                <w:lang w:eastAsia="zh-CN"/>
              </w:rPr>
              <w:t>16</w:t>
            </w:r>
          </w:p>
        </w:tc>
        <w:tc>
          <w:tcPr>
            <w:tcW w:w="966" w:type="pct"/>
            <w:shd w:val="clear" w:color="auto" w:fill="auto"/>
            <w:vAlign w:val="center"/>
            <w:hideMark/>
          </w:tcPr>
          <w:p w14:paraId="29C202C9" w14:textId="77777777" w:rsidR="0040483E" w:rsidRPr="0040483E" w:rsidRDefault="0040483E" w:rsidP="0040483E">
            <w:pPr>
              <w:pStyle w:val="TableContent"/>
              <w:jc w:val="center"/>
              <w:rPr>
                <w:lang w:eastAsia="zh-CN"/>
              </w:rPr>
            </w:pPr>
            <w:r w:rsidRPr="0040483E">
              <w:rPr>
                <w:lang w:eastAsia="zh-CN"/>
              </w:rPr>
              <w:t>1</w:t>
            </w:r>
          </w:p>
        </w:tc>
      </w:tr>
      <w:tr w:rsidR="0040483E" w:rsidRPr="0040483E" w14:paraId="36237589" w14:textId="77777777" w:rsidTr="0040483E">
        <w:trPr>
          <w:tblCellSpacing w:w="15" w:type="dxa"/>
          <w:jc w:val="center"/>
        </w:trPr>
        <w:tc>
          <w:tcPr>
            <w:tcW w:w="1127" w:type="pct"/>
            <w:shd w:val="clear" w:color="auto" w:fill="auto"/>
            <w:vAlign w:val="center"/>
            <w:hideMark/>
          </w:tcPr>
          <w:p w14:paraId="5A8A7492" w14:textId="77777777" w:rsidR="0040483E" w:rsidRPr="0040483E" w:rsidRDefault="0040483E" w:rsidP="0040483E">
            <w:pPr>
              <w:pStyle w:val="TableContent"/>
              <w:jc w:val="center"/>
              <w:rPr>
                <w:lang w:eastAsia="zh-CN"/>
              </w:rPr>
            </w:pPr>
            <w:r w:rsidRPr="0040483E">
              <w:rPr>
                <w:lang w:eastAsia="zh-CN"/>
              </w:rPr>
              <w:t>ME</w:t>
            </w:r>
          </w:p>
        </w:tc>
        <w:tc>
          <w:tcPr>
            <w:tcW w:w="1371" w:type="pct"/>
            <w:shd w:val="clear" w:color="auto" w:fill="auto"/>
            <w:vAlign w:val="center"/>
            <w:hideMark/>
          </w:tcPr>
          <w:p w14:paraId="0CA6ED7E" w14:textId="77777777" w:rsidR="0040483E" w:rsidRPr="0040483E" w:rsidRDefault="0040483E" w:rsidP="0040483E">
            <w:pPr>
              <w:pStyle w:val="TableContent"/>
              <w:jc w:val="center"/>
              <w:rPr>
                <w:lang w:eastAsia="zh-CN"/>
              </w:rPr>
            </w:pPr>
            <w:r w:rsidRPr="0040483E">
              <w:rPr>
                <w:lang w:eastAsia="zh-CN"/>
              </w:rPr>
              <w:t>SF</w:t>
            </w:r>
          </w:p>
        </w:tc>
        <w:tc>
          <w:tcPr>
            <w:tcW w:w="1371" w:type="pct"/>
            <w:shd w:val="clear" w:color="auto" w:fill="auto"/>
            <w:vAlign w:val="center"/>
            <w:hideMark/>
          </w:tcPr>
          <w:p w14:paraId="7AF1B630" w14:textId="77777777" w:rsidR="0040483E" w:rsidRPr="0040483E" w:rsidRDefault="0040483E" w:rsidP="0040483E">
            <w:pPr>
              <w:pStyle w:val="TableContent"/>
              <w:jc w:val="center"/>
              <w:rPr>
                <w:lang w:eastAsia="zh-CN"/>
              </w:rPr>
            </w:pPr>
            <w:r w:rsidRPr="0040483E">
              <w:rPr>
                <w:lang w:eastAsia="zh-CN"/>
              </w:rPr>
              <w:t>11</w:t>
            </w:r>
          </w:p>
        </w:tc>
        <w:tc>
          <w:tcPr>
            <w:tcW w:w="966" w:type="pct"/>
            <w:shd w:val="clear" w:color="auto" w:fill="auto"/>
            <w:vAlign w:val="center"/>
            <w:hideMark/>
          </w:tcPr>
          <w:p w14:paraId="25E75137" w14:textId="77777777" w:rsidR="0040483E" w:rsidRPr="0040483E" w:rsidRDefault="0040483E" w:rsidP="0040483E">
            <w:pPr>
              <w:pStyle w:val="TableContent"/>
              <w:jc w:val="center"/>
              <w:rPr>
                <w:lang w:eastAsia="zh-CN"/>
              </w:rPr>
            </w:pPr>
            <w:r w:rsidRPr="0040483E">
              <w:rPr>
                <w:lang w:eastAsia="zh-CN"/>
              </w:rPr>
              <w:t>2</w:t>
            </w:r>
          </w:p>
        </w:tc>
      </w:tr>
      <w:tr w:rsidR="0040483E" w:rsidRPr="0040483E" w14:paraId="7906D280" w14:textId="77777777" w:rsidTr="0040483E">
        <w:trPr>
          <w:tblCellSpacing w:w="15" w:type="dxa"/>
          <w:jc w:val="center"/>
        </w:trPr>
        <w:tc>
          <w:tcPr>
            <w:tcW w:w="1127" w:type="pct"/>
            <w:shd w:val="clear" w:color="auto" w:fill="auto"/>
            <w:vAlign w:val="center"/>
            <w:hideMark/>
          </w:tcPr>
          <w:p w14:paraId="0960D859"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63587E0F" w14:textId="77777777" w:rsidR="0040483E" w:rsidRPr="0040483E" w:rsidRDefault="0040483E" w:rsidP="0040483E">
            <w:pPr>
              <w:pStyle w:val="TableContent"/>
              <w:jc w:val="center"/>
              <w:rPr>
                <w:lang w:eastAsia="zh-CN"/>
              </w:rPr>
            </w:pPr>
            <w:r w:rsidRPr="0040483E">
              <w:rPr>
                <w:lang w:eastAsia="zh-CN"/>
              </w:rPr>
              <w:t>FF</w:t>
            </w:r>
          </w:p>
        </w:tc>
        <w:tc>
          <w:tcPr>
            <w:tcW w:w="1371" w:type="pct"/>
            <w:shd w:val="clear" w:color="auto" w:fill="auto"/>
            <w:vAlign w:val="center"/>
            <w:hideMark/>
          </w:tcPr>
          <w:p w14:paraId="54E8FA56" w14:textId="77777777" w:rsidR="0040483E" w:rsidRPr="0040483E" w:rsidRDefault="0040483E" w:rsidP="0040483E">
            <w:pPr>
              <w:pStyle w:val="TableContent"/>
              <w:jc w:val="center"/>
              <w:rPr>
                <w:lang w:eastAsia="zh-CN"/>
              </w:rPr>
            </w:pPr>
            <w:r w:rsidRPr="0040483E">
              <w:rPr>
                <w:lang w:eastAsia="zh-CN"/>
              </w:rPr>
              <w:t>5</w:t>
            </w:r>
          </w:p>
        </w:tc>
        <w:tc>
          <w:tcPr>
            <w:tcW w:w="966" w:type="pct"/>
            <w:shd w:val="clear" w:color="auto" w:fill="auto"/>
            <w:vAlign w:val="center"/>
            <w:hideMark/>
          </w:tcPr>
          <w:p w14:paraId="08D89CDF" w14:textId="77777777" w:rsidR="0040483E" w:rsidRPr="0040483E" w:rsidRDefault="0040483E" w:rsidP="0040483E">
            <w:pPr>
              <w:pStyle w:val="TableContent"/>
              <w:jc w:val="center"/>
              <w:rPr>
                <w:lang w:eastAsia="zh-CN"/>
              </w:rPr>
            </w:pPr>
            <w:r w:rsidRPr="0040483E">
              <w:rPr>
                <w:lang w:eastAsia="zh-CN"/>
              </w:rPr>
              <w:t>1</w:t>
            </w:r>
          </w:p>
        </w:tc>
      </w:tr>
      <w:tr w:rsidR="0040483E" w:rsidRPr="0040483E" w14:paraId="09597DEC" w14:textId="77777777" w:rsidTr="0040483E">
        <w:trPr>
          <w:tblCellSpacing w:w="15" w:type="dxa"/>
          <w:jc w:val="center"/>
        </w:trPr>
        <w:tc>
          <w:tcPr>
            <w:tcW w:w="1127" w:type="pct"/>
            <w:shd w:val="clear" w:color="auto" w:fill="auto"/>
            <w:vAlign w:val="center"/>
            <w:hideMark/>
          </w:tcPr>
          <w:p w14:paraId="15C6813F"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7B591464" w14:textId="77777777" w:rsidR="0040483E" w:rsidRPr="0040483E" w:rsidRDefault="0040483E" w:rsidP="0040483E">
            <w:pPr>
              <w:pStyle w:val="TableContent"/>
              <w:jc w:val="center"/>
              <w:rPr>
                <w:lang w:eastAsia="zh-CN"/>
              </w:rPr>
            </w:pPr>
            <w:r w:rsidRPr="0040483E">
              <w:rPr>
                <w:lang w:eastAsia="zh-CN"/>
              </w:rPr>
              <w:t>SS</w:t>
            </w:r>
          </w:p>
        </w:tc>
        <w:tc>
          <w:tcPr>
            <w:tcW w:w="1371" w:type="pct"/>
            <w:shd w:val="clear" w:color="auto" w:fill="auto"/>
            <w:vAlign w:val="center"/>
            <w:hideMark/>
          </w:tcPr>
          <w:p w14:paraId="23703D9C" w14:textId="77777777" w:rsidR="0040483E" w:rsidRPr="0040483E" w:rsidRDefault="0040483E" w:rsidP="0040483E">
            <w:pPr>
              <w:pStyle w:val="TableContent"/>
              <w:jc w:val="center"/>
              <w:rPr>
                <w:lang w:eastAsia="zh-CN"/>
              </w:rPr>
            </w:pPr>
            <w:r w:rsidRPr="0040483E">
              <w:rPr>
                <w:lang w:eastAsia="zh-CN"/>
              </w:rPr>
              <w:t>17</w:t>
            </w:r>
          </w:p>
        </w:tc>
        <w:tc>
          <w:tcPr>
            <w:tcW w:w="966" w:type="pct"/>
            <w:shd w:val="clear" w:color="auto" w:fill="auto"/>
            <w:vAlign w:val="center"/>
            <w:hideMark/>
          </w:tcPr>
          <w:p w14:paraId="23F85820" w14:textId="77777777" w:rsidR="0040483E" w:rsidRPr="0040483E" w:rsidRDefault="0040483E" w:rsidP="0040483E">
            <w:pPr>
              <w:pStyle w:val="TableContent"/>
              <w:jc w:val="center"/>
              <w:rPr>
                <w:lang w:eastAsia="zh-CN"/>
              </w:rPr>
            </w:pPr>
            <w:r w:rsidRPr="0040483E">
              <w:rPr>
                <w:lang w:eastAsia="zh-CN"/>
              </w:rPr>
              <w:t>3</w:t>
            </w:r>
          </w:p>
        </w:tc>
      </w:tr>
      <w:tr w:rsidR="0040483E" w:rsidRPr="0040483E" w14:paraId="02AC18B7" w14:textId="77777777" w:rsidTr="0040483E">
        <w:trPr>
          <w:tblCellSpacing w:w="15" w:type="dxa"/>
          <w:jc w:val="center"/>
        </w:trPr>
        <w:tc>
          <w:tcPr>
            <w:tcW w:w="1127" w:type="pct"/>
            <w:shd w:val="clear" w:color="auto" w:fill="auto"/>
            <w:vAlign w:val="center"/>
            <w:hideMark/>
          </w:tcPr>
          <w:p w14:paraId="49408659" w14:textId="77777777" w:rsidR="0040483E" w:rsidRPr="0040483E" w:rsidRDefault="0040483E" w:rsidP="0040483E">
            <w:pPr>
              <w:pStyle w:val="TableContent"/>
              <w:jc w:val="center"/>
              <w:rPr>
                <w:lang w:eastAsia="zh-CN"/>
              </w:rPr>
            </w:pPr>
            <w:r w:rsidRPr="0040483E">
              <w:rPr>
                <w:lang w:eastAsia="zh-CN"/>
              </w:rPr>
              <w:t>NP</w:t>
            </w:r>
          </w:p>
        </w:tc>
        <w:tc>
          <w:tcPr>
            <w:tcW w:w="1371" w:type="pct"/>
            <w:shd w:val="clear" w:color="auto" w:fill="auto"/>
            <w:vAlign w:val="center"/>
            <w:hideMark/>
          </w:tcPr>
          <w:p w14:paraId="4B6EE656" w14:textId="77777777" w:rsidR="0040483E" w:rsidRPr="0040483E" w:rsidRDefault="0040483E" w:rsidP="0040483E">
            <w:pPr>
              <w:pStyle w:val="TableContent"/>
              <w:jc w:val="center"/>
              <w:rPr>
                <w:lang w:eastAsia="zh-CN"/>
              </w:rPr>
            </w:pPr>
            <w:r w:rsidRPr="0040483E">
              <w:rPr>
                <w:lang w:eastAsia="zh-CN"/>
              </w:rPr>
              <w:t>SF</w:t>
            </w:r>
          </w:p>
        </w:tc>
        <w:tc>
          <w:tcPr>
            <w:tcW w:w="1371" w:type="pct"/>
            <w:shd w:val="clear" w:color="auto" w:fill="auto"/>
            <w:vAlign w:val="center"/>
            <w:hideMark/>
          </w:tcPr>
          <w:p w14:paraId="7887618E" w14:textId="77777777" w:rsidR="0040483E" w:rsidRPr="0040483E" w:rsidRDefault="0040483E" w:rsidP="0040483E">
            <w:pPr>
              <w:pStyle w:val="TableContent"/>
              <w:jc w:val="center"/>
              <w:rPr>
                <w:lang w:eastAsia="zh-CN"/>
              </w:rPr>
            </w:pPr>
            <w:r w:rsidRPr="0040483E">
              <w:rPr>
                <w:lang w:eastAsia="zh-CN"/>
              </w:rPr>
              <w:t>4</w:t>
            </w:r>
          </w:p>
        </w:tc>
        <w:tc>
          <w:tcPr>
            <w:tcW w:w="966" w:type="pct"/>
            <w:shd w:val="clear" w:color="auto" w:fill="auto"/>
            <w:vAlign w:val="center"/>
            <w:hideMark/>
          </w:tcPr>
          <w:p w14:paraId="7CB68F80" w14:textId="77777777" w:rsidR="0040483E" w:rsidRPr="0040483E" w:rsidRDefault="0040483E" w:rsidP="0040483E">
            <w:pPr>
              <w:pStyle w:val="TableContent"/>
              <w:jc w:val="center"/>
              <w:rPr>
                <w:lang w:eastAsia="zh-CN"/>
              </w:rPr>
            </w:pPr>
            <w:r w:rsidRPr="0040483E">
              <w:rPr>
                <w:lang w:eastAsia="zh-CN"/>
              </w:rPr>
              <w:t>1</w:t>
            </w:r>
          </w:p>
        </w:tc>
      </w:tr>
      <w:tr w:rsidR="0040483E" w:rsidRPr="0040483E" w14:paraId="30F1CFC0" w14:textId="77777777" w:rsidTr="0040483E">
        <w:trPr>
          <w:tblCellSpacing w:w="15" w:type="dxa"/>
          <w:jc w:val="center"/>
        </w:trPr>
        <w:tc>
          <w:tcPr>
            <w:tcW w:w="1127" w:type="pct"/>
            <w:shd w:val="clear" w:color="auto" w:fill="auto"/>
            <w:vAlign w:val="center"/>
            <w:hideMark/>
          </w:tcPr>
          <w:p w14:paraId="1F3CD7A9" w14:textId="77777777" w:rsidR="0040483E" w:rsidRPr="0040483E" w:rsidRDefault="0040483E" w:rsidP="0040483E">
            <w:pPr>
              <w:pStyle w:val="TableContent"/>
              <w:jc w:val="center"/>
              <w:rPr>
                <w:lang w:eastAsia="zh-CN"/>
              </w:rPr>
            </w:pPr>
          </w:p>
        </w:tc>
        <w:tc>
          <w:tcPr>
            <w:tcW w:w="1371" w:type="pct"/>
            <w:shd w:val="clear" w:color="auto" w:fill="auto"/>
            <w:vAlign w:val="center"/>
            <w:hideMark/>
          </w:tcPr>
          <w:p w14:paraId="7C2A2431" w14:textId="77777777" w:rsidR="0040483E" w:rsidRPr="0040483E" w:rsidRDefault="0040483E" w:rsidP="0040483E">
            <w:pPr>
              <w:pStyle w:val="TableContent"/>
              <w:jc w:val="center"/>
              <w:rPr>
                <w:lang w:eastAsia="zh-CN"/>
              </w:rPr>
            </w:pPr>
            <w:r w:rsidRPr="0040483E">
              <w:rPr>
                <w:lang w:eastAsia="zh-CN"/>
              </w:rPr>
              <w:t>FF</w:t>
            </w:r>
          </w:p>
        </w:tc>
        <w:tc>
          <w:tcPr>
            <w:tcW w:w="1371" w:type="pct"/>
            <w:shd w:val="clear" w:color="auto" w:fill="auto"/>
            <w:vAlign w:val="center"/>
            <w:hideMark/>
          </w:tcPr>
          <w:p w14:paraId="77BB6CAD" w14:textId="77777777" w:rsidR="0040483E" w:rsidRPr="0040483E" w:rsidRDefault="0040483E" w:rsidP="0040483E">
            <w:pPr>
              <w:pStyle w:val="TableContent"/>
              <w:jc w:val="center"/>
              <w:rPr>
                <w:lang w:eastAsia="zh-CN"/>
              </w:rPr>
            </w:pPr>
            <w:r w:rsidRPr="0040483E">
              <w:rPr>
                <w:lang w:eastAsia="zh-CN"/>
              </w:rPr>
              <w:t>5</w:t>
            </w:r>
          </w:p>
        </w:tc>
        <w:tc>
          <w:tcPr>
            <w:tcW w:w="966" w:type="pct"/>
            <w:shd w:val="clear" w:color="auto" w:fill="auto"/>
            <w:vAlign w:val="center"/>
            <w:hideMark/>
          </w:tcPr>
          <w:p w14:paraId="6C4512DE" w14:textId="77777777" w:rsidR="0040483E" w:rsidRPr="0040483E" w:rsidRDefault="0040483E" w:rsidP="0040483E">
            <w:pPr>
              <w:pStyle w:val="TableContent"/>
              <w:jc w:val="center"/>
              <w:rPr>
                <w:lang w:eastAsia="zh-CN"/>
              </w:rPr>
            </w:pPr>
            <w:r w:rsidRPr="0040483E">
              <w:rPr>
                <w:lang w:eastAsia="zh-CN"/>
              </w:rPr>
              <w:t>0</w:t>
            </w:r>
          </w:p>
        </w:tc>
      </w:tr>
    </w:tbl>
    <w:p w14:paraId="47BBD164" w14:textId="77777777" w:rsidR="00EC2936" w:rsidRDefault="00EC2936" w:rsidP="00EC2936"/>
    <w:p w14:paraId="0B5CBE9A" w14:textId="77777777" w:rsidR="00EC2936" w:rsidRDefault="00EC2936" w:rsidP="00EC2936">
      <w:pPr>
        <w:rPr>
          <w:lang w:eastAsia="zh-CN"/>
        </w:rPr>
      </w:pPr>
      <w:r>
        <w:t>We can use these data to calculate the allelic frequencies for a given locus, such as the EST locus in the California population (</w:t>
      </w:r>
      <w:r>
        <w:rPr>
          <w:i/>
          <w:iCs/>
        </w:rPr>
        <w:t>n</w:t>
      </w:r>
      <w:r>
        <w:t xml:space="preserve"> = 64). Each individual with the genotype </w:t>
      </w:r>
      <w:r>
        <w:rPr>
          <w:i/>
          <w:iCs/>
        </w:rPr>
        <w:t>SS</w:t>
      </w:r>
      <w:r>
        <w:t xml:space="preserve"> has two copies of the </w:t>
      </w:r>
      <w:r>
        <w:rPr>
          <w:i/>
          <w:iCs/>
        </w:rPr>
        <w:t>S</w:t>
      </w:r>
      <w:r>
        <w:t xml:space="preserve"> allele; therefore the 37 individuals with this genotype have a count of 74</w:t>
      </w:r>
      <w:r w:rsidR="005270C6">
        <w:t xml:space="preserve"> </w:t>
      </w:r>
      <w:r>
        <w:rPr>
          <w:i/>
          <w:iCs/>
        </w:rPr>
        <w:t>S</w:t>
      </w:r>
      <w:r w:rsidR="005270C6">
        <w:t xml:space="preserve"> </w:t>
      </w:r>
      <w:r>
        <w:t xml:space="preserve">alleles. Heterozygote individuals (SF) have one of each </w:t>
      </w:r>
      <w:proofErr w:type="gramStart"/>
      <w:r>
        <w:t>allele</w:t>
      </w:r>
      <w:proofErr w:type="gramEnd"/>
      <w:r>
        <w:t>, so there are 20</w:t>
      </w:r>
      <w:r w:rsidR="005270C6">
        <w:t xml:space="preserve"> </w:t>
      </w:r>
      <w:r>
        <w:rPr>
          <w:i/>
          <w:iCs/>
        </w:rPr>
        <w:t>S</w:t>
      </w:r>
      <w:r w:rsidR="005270C6">
        <w:t xml:space="preserve"> </w:t>
      </w:r>
      <w:r>
        <w:t>alleles and 20</w:t>
      </w:r>
      <w:r w:rsidR="005270C6">
        <w:t xml:space="preserve"> </w:t>
      </w:r>
      <w:r>
        <w:rPr>
          <w:i/>
          <w:iCs/>
        </w:rPr>
        <w:t>F</w:t>
      </w:r>
      <w:r w:rsidR="005270C6">
        <w:t xml:space="preserve"> </w:t>
      </w:r>
      <w:r>
        <w:t>alleles among them. Like the</w:t>
      </w:r>
      <w:r w:rsidR="003E16FC">
        <w:t xml:space="preserve"> </w:t>
      </w:r>
      <w:r>
        <w:rPr>
          <w:i/>
          <w:iCs/>
        </w:rPr>
        <w:t>SS</w:t>
      </w:r>
      <w:r w:rsidR="003E16FC">
        <w:t xml:space="preserve"> </w:t>
      </w:r>
      <w:r>
        <w:t>homozygotes, individuals with the</w:t>
      </w:r>
      <w:r w:rsidR="005270C6">
        <w:t xml:space="preserve"> </w:t>
      </w:r>
      <w:r>
        <w:rPr>
          <w:i/>
          <w:iCs/>
        </w:rPr>
        <w:t>FF</w:t>
      </w:r>
      <w:r w:rsidR="005270C6">
        <w:t xml:space="preserve"> </w:t>
      </w:r>
      <w:r>
        <w:t>genotype have two copies of the</w:t>
      </w:r>
      <w:r w:rsidR="00593B02">
        <w:t xml:space="preserve"> </w:t>
      </w:r>
      <w:r>
        <w:rPr>
          <w:i/>
          <w:iCs/>
        </w:rPr>
        <w:t>F</w:t>
      </w:r>
      <w:r w:rsidR="00593B02">
        <w:t xml:space="preserve"> </w:t>
      </w:r>
      <w:r>
        <w:t>allele, so these seven individuals contribute 14</w:t>
      </w:r>
      <w:r w:rsidR="005270C6">
        <w:t xml:space="preserve"> </w:t>
      </w:r>
      <w:r>
        <w:rPr>
          <w:i/>
          <w:iCs/>
        </w:rPr>
        <w:t>F</w:t>
      </w:r>
      <w:r w:rsidR="005270C6">
        <w:t xml:space="preserve"> </w:t>
      </w:r>
      <w:r>
        <w:t>alleles to our count. In other words, among the 64 individuals in this sample there are 94</w:t>
      </w:r>
      <w:r w:rsidR="00DD40C6">
        <w:t xml:space="preserve"> </w:t>
      </w:r>
      <w:r>
        <w:rPr>
          <w:i/>
          <w:iCs/>
        </w:rPr>
        <w:t>S</w:t>
      </w:r>
      <w:r w:rsidR="004562F1">
        <w:t xml:space="preserve"> </w:t>
      </w:r>
      <w:r>
        <w:t>alleles and 34</w:t>
      </w:r>
      <w:r w:rsidR="00DD40C6">
        <w:t xml:space="preserve"> </w:t>
      </w:r>
      <w:r>
        <w:rPr>
          <w:i/>
          <w:iCs/>
        </w:rPr>
        <w:t>F</w:t>
      </w:r>
      <w:r w:rsidR="00DD40C6">
        <w:t xml:space="preserve"> </w:t>
      </w:r>
      <w:r>
        <w:t xml:space="preserve">alleles. To calculate the allelic </w:t>
      </w:r>
      <w:r w:rsidR="00DD40C6">
        <w:t>frequencies,</w:t>
      </w:r>
      <w:r>
        <w:t xml:space="preserve"> we simply divide the number of</w:t>
      </w:r>
      <w:r w:rsidR="00DD40C6">
        <w:t xml:space="preserve"> </w:t>
      </w:r>
      <w:r>
        <w:rPr>
          <w:i/>
          <w:iCs/>
        </w:rPr>
        <w:t>S</w:t>
      </w:r>
      <w:r w:rsidR="00DD40C6">
        <w:t xml:space="preserve"> </w:t>
      </w:r>
      <w:r>
        <w:t>or</w:t>
      </w:r>
      <w:r w:rsidR="00DD40C6">
        <w:t xml:space="preserve"> </w:t>
      </w:r>
      <w:r>
        <w:rPr>
          <w:i/>
          <w:iCs/>
        </w:rPr>
        <w:t>F</w:t>
      </w:r>
      <w:r w:rsidR="00DD40C6">
        <w:t xml:space="preserve"> </w:t>
      </w:r>
      <w:r>
        <w:t>alleles by the total number of alleles: 94/128 = 0.734 =</w:t>
      </w:r>
      <w:r w:rsidR="00DD40C6">
        <w:t xml:space="preserve"> </w:t>
      </w:r>
      <w:r>
        <w:rPr>
          <w:i/>
          <w:iCs/>
        </w:rPr>
        <w:t>p</w:t>
      </w:r>
      <w:r w:rsidR="00DD40C6">
        <w:t xml:space="preserve"> </w:t>
      </w:r>
      <w:r>
        <w:t>= frequency of the</w:t>
      </w:r>
      <w:r w:rsidR="00DD40C6">
        <w:t xml:space="preserve"> </w:t>
      </w:r>
      <w:r>
        <w:rPr>
          <w:i/>
          <w:iCs/>
        </w:rPr>
        <w:t>S</w:t>
      </w:r>
      <w:r w:rsidR="00DD40C6">
        <w:t xml:space="preserve"> </w:t>
      </w:r>
      <w:r>
        <w:t>allele, and 34/128 = 0.266 = q = frequency of the</w:t>
      </w:r>
      <w:r w:rsidR="00DD40C6">
        <w:t xml:space="preserve"> </w:t>
      </w:r>
      <w:r>
        <w:rPr>
          <w:i/>
          <w:iCs/>
        </w:rPr>
        <w:t>F</w:t>
      </w:r>
      <w:r w:rsidR="00DD40C6">
        <w:t xml:space="preserve"> </w:t>
      </w:r>
      <w:r>
        <w:t>allele.</w:t>
      </w:r>
    </w:p>
    <w:p w14:paraId="0008C230" w14:textId="77777777" w:rsidR="00EC2936" w:rsidRDefault="00EC2936" w:rsidP="00EC2936">
      <w:r>
        <w:t>If this population were in Hardy-Weinberg equilibrium, we would expect the genotype frequencies for</w:t>
      </w:r>
      <w:r w:rsidR="003C13EB">
        <w:t xml:space="preserve"> </w:t>
      </w:r>
      <w:r>
        <w:rPr>
          <w:i/>
          <w:iCs/>
        </w:rPr>
        <w:t>SS</w:t>
      </w:r>
      <w:r>
        <w:t>,</w:t>
      </w:r>
      <w:r w:rsidR="003C13EB">
        <w:t xml:space="preserve"> </w:t>
      </w:r>
      <w:r>
        <w:rPr>
          <w:i/>
          <w:iCs/>
        </w:rPr>
        <w:t>SF</w:t>
      </w:r>
      <w:r>
        <w:t>, and</w:t>
      </w:r>
      <w:r w:rsidR="003C13EB">
        <w:t xml:space="preserve"> </w:t>
      </w:r>
      <w:r>
        <w:rPr>
          <w:i/>
          <w:iCs/>
        </w:rPr>
        <w:t>FF</w:t>
      </w:r>
      <w:r w:rsidR="003C13EB">
        <w:t xml:space="preserve"> </w:t>
      </w:r>
      <w:r>
        <w:t>to be</w:t>
      </w:r>
      <w:r w:rsidR="003C13EB">
        <w:t xml:space="preserve"> </w:t>
      </w:r>
      <w:r>
        <w:rPr>
          <w:i/>
          <w:iCs/>
        </w:rPr>
        <w:t>p</w:t>
      </w:r>
      <w:r>
        <w:rPr>
          <w:vertAlign w:val="superscript"/>
        </w:rPr>
        <w:t>2</w:t>
      </w:r>
      <w:r>
        <w:t>, 2</w:t>
      </w:r>
      <w:r>
        <w:rPr>
          <w:i/>
          <w:iCs/>
        </w:rPr>
        <w:t>pq</w:t>
      </w:r>
      <w:r>
        <w:t>, and</w:t>
      </w:r>
      <w:r w:rsidR="003C13EB">
        <w:t xml:space="preserve"> </w:t>
      </w:r>
      <w:r>
        <w:rPr>
          <w:i/>
          <w:iCs/>
        </w:rPr>
        <w:t>q</w:t>
      </w:r>
      <w:r>
        <w:rPr>
          <w:vertAlign w:val="superscript"/>
        </w:rPr>
        <w:t>2</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524F" w14:paraId="2822AE02" w14:textId="77777777" w:rsidTr="00F17EEA">
        <w:tc>
          <w:tcPr>
            <w:tcW w:w="4675" w:type="dxa"/>
            <w:vAlign w:val="center"/>
          </w:tcPr>
          <w:p w14:paraId="6B0E4D4E" w14:textId="77777777" w:rsidR="00D3524F" w:rsidRDefault="0049376E" w:rsidP="00F17EEA">
            <m:oMathPara>
              <m:oMath>
                <m:sSup>
                  <m:sSupPr>
                    <m:ctrlPr>
                      <w:rPr>
                        <w:rFonts w:ascii="Cambria Math" w:hAnsi="Cambria Math"/>
                      </w:rPr>
                    </m:ctrlPr>
                  </m:sSupPr>
                  <m:e>
                    <m:r>
                      <w:rPr>
                        <w:rFonts w:ascii="Cambria Math" w:hAnsi="Cambria Math" w:hint="eastAsia"/>
                        <w:lang w:eastAsia="zh-CN"/>
                      </w:rPr>
                      <m:t>p</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0.734</m:t>
                        </m:r>
                      </m:e>
                    </m:d>
                  </m:e>
                  <m:sup>
                    <m:r>
                      <w:rPr>
                        <w:rFonts w:ascii="Cambria Math" w:hAnsi="Cambria Math"/>
                      </w:rPr>
                      <m:t>2</m:t>
                    </m:r>
                  </m:sup>
                </m:sSup>
                <m:r>
                  <w:rPr>
                    <w:rFonts w:ascii="Cambria Math" w:hAnsi="Cambria Math"/>
                  </w:rPr>
                  <m:t>=0.539</m:t>
                </m:r>
              </m:oMath>
            </m:oMathPara>
          </w:p>
        </w:tc>
        <w:tc>
          <w:tcPr>
            <w:tcW w:w="4675" w:type="dxa"/>
            <w:vAlign w:val="center"/>
          </w:tcPr>
          <w:p w14:paraId="1EB88713" w14:textId="77777777" w:rsidR="00D3524F" w:rsidRDefault="0034648C" w:rsidP="00F17EEA">
            <w:r>
              <w:t xml:space="preserve">LaTeX Code: </w:t>
            </w:r>
            <w:proofErr w:type="gramStart"/>
            <w:r>
              <w:t>\[</w:t>
            </w:r>
            <w:proofErr w:type="gramEnd"/>
            <w:r>
              <w:t xml:space="preserve"> p^2 = (0.734)^2 = 0.539\]</w:t>
            </w:r>
          </w:p>
        </w:tc>
      </w:tr>
      <w:tr w:rsidR="0034648C" w14:paraId="5A1795BB" w14:textId="77777777" w:rsidTr="00F17EEA">
        <w:tc>
          <w:tcPr>
            <w:tcW w:w="4675" w:type="dxa"/>
            <w:vAlign w:val="center"/>
          </w:tcPr>
          <w:p w14:paraId="557A4EDA" w14:textId="77777777" w:rsidR="0034648C" w:rsidRDefault="0034648C" w:rsidP="00F17EEA">
            <m:oMathPara>
              <m:oMath>
                <m:r>
                  <w:rPr>
                    <w:rFonts w:ascii="Cambria Math" w:hAnsi="Cambria Math"/>
                  </w:rPr>
                  <m:t>2pq=2</m:t>
                </m:r>
                <m:d>
                  <m:dPr>
                    <m:ctrlPr>
                      <w:rPr>
                        <w:rFonts w:ascii="Cambria Math" w:hAnsi="Cambria Math"/>
                        <w:i/>
                      </w:rPr>
                    </m:ctrlPr>
                  </m:dPr>
                  <m:e>
                    <m:r>
                      <w:rPr>
                        <w:rFonts w:ascii="Cambria Math" w:hAnsi="Cambria Math"/>
                      </w:rPr>
                      <m:t>0.734</m:t>
                    </m:r>
                  </m:e>
                </m:d>
                <m:d>
                  <m:dPr>
                    <m:ctrlPr>
                      <w:rPr>
                        <w:rFonts w:ascii="Cambria Math" w:hAnsi="Cambria Math"/>
                        <w:i/>
                      </w:rPr>
                    </m:ctrlPr>
                  </m:dPr>
                  <m:e>
                    <m:r>
                      <w:rPr>
                        <w:rFonts w:ascii="Cambria Math" w:hAnsi="Cambria Math"/>
                      </w:rPr>
                      <m:t>0.266</m:t>
                    </m:r>
                  </m:e>
                </m:d>
                <m:r>
                  <w:rPr>
                    <w:rFonts w:ascii="Cambria Math" w:hAnsi="Cambria Math"/>
                  </w:rPr>
                  <m:t>=0.390</m:t>
                </m:r>
              </m:oMath>
            </m:oMathPara>
          </w:p>
        </w:tc>
        <w:tc>
          <w:tcPr>
            <w:tcW w:w="4675" w:type="dxa"/>
            <w:vAlign w:val="center"/>
          </w:tcPr>
          <w:p w14:paraId="502FF003" w14:textId="77777777" w:rsidR="0034648C" w:rsidRDefault="0034648C" w:rsidP="00F17EEA">
            <w:r>
              <w:t xml:space="preserve">LaTeX Code: </w:t>
            </w:r>
            <w:proofErr w:type="gramStart"/>
            <w:r>
              <w:t>\[</w:t>
            </w:r>
            <w:proofErr w:type="gramEnd"/>
            <w:r>
              <w:t xml:space="preserve"> </w:t>
            </w:r>
            <w:r w:rsidR="0062507C">
              <w:t>2pq = 2(0.734)(0.266) = 0.390</w:t>
            </w:r>
            <w:r>
              <w:t xml:space="preserve"> \]</w:t>
            </w:r>
          </w:p>
        </w:tc>
      </w:tr>
      <w:tr w:rsidR="0034648C" w14:paraId="56124F5D" w14:textId="77777777" w:rsidTr="00F17EEA">
        <w:tc>
          <w:tcPr>
            <w:tcW w:w="4675" w:type="dxa"/>
            <w:vAlign w:val="center"/>
          </w:tcPr>
          <w:p w14:paraId="55D7FD53" w14:textId="77777777" w:rsidR="0034648C" w:rsidRDefault="0049376E" w:rsidP="00F17EEA">
            <m:oMathPara>
              <m:oMath>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0.266</m:t>
                        </m:r>
                      </m:e>
                    </m:d>
                  </m:e>
                  <m:sup>
                    <m:r>
                      <w:rPr>
                        <w:rFonts w:ascii="Cambria Math" w:hAnsi="Cambria Math"/>
                      </w:rPr>
                      <m:t>2</m:t>
                    </m:r>
                  </m:sup>
                </m:sSup>
                <m:r>
                  <w:rPr>
                    <w:rFonts w:ascii="Cambria Math" w:hAnsi="Cambria Math"/>
                  </w:rPr>
                  <m:t>=0.071</m:t>
                </m:r>
              </m:oMath>
            </m:oMathPara>
          </w:p>
        </w:tc>
        <w:tc>
          <w:tcPr>
            <w:tcW w:w="4675" w:type="dxa"/>
            <w:vAlign w:val="center"/>
          </w:tcPr>
          <w:p w14:paraId="5A1E438D" w14:textId="77777777" w:rsidR="0034648C" w:rsidRDefault="0034648C" w:rsidP="00F17EEA">
            <w:r>
              <w:t xml:space="preserve">LaTeX Code: </w:t>
            </w:r>
            <w:proofErr w:type="gramStart"/>
            <w:r>
              <w:t>\[</w:t>
            </w:r>
            <w:proofErr w:type="gramEnd"/>
            <w:r>
              <w:t xml:space="preserve"> </w:t>
            </w:r>
            <w:r w:rsidR="0062507C">
              <w:t>q^2 = (0.266)^2</w:t>
            </w:r>
            <w:r>
              <w:t xml:space="preserve"> </w:t>
            </w:r>
            <w:r w:rsidR="0062507C">
              <w:t>= 0.071</w:t>
            </w:r>
            <w:r w:rsidR="001D6D61">
              <w:t xml:space="preserve"> </w:t>
            </w:r>
            <w:r>
              <w:t>\]</w:t>
            </w:r>
          </w:p>
        </w:tc>
      </w:tr>
    </w:tbl>
    <w:p w14:paraId="177B8625" w14:textId="77777777" w:rsidR="00E55EE7" w:rsidRPr="00E55EE7" w:rsidRDefault="00E55EE7" w:rsidP="00E55EE7">
      <w:pPr>
        <w:rPr>
          <w:color w:val="auto"/>
          <w:sz w:val="24"/>
          <w:szCs w:val="24"/>
          <w:lang w:eastAsia="zh-CN"/>
        </w:rPr>
      </w:pPr>
      <w:r w:rsidRPr="00E55EE7">
        <w:rPr>
          <w:shd w:val="clear" w:color="auto" w:fill="FFFFFF"/>
          <w:lang w:eastAsia="zh-CN"/>
        </w:rPr>
        <w:t>For the 64 individuals in this sample, then, we would expect that approximately 34 individuals (</w:t>
      </w:r>
      <w:r w:rsidRPr="00E55EE7">
        <w:rPr>
          <w:i/>
          <w:iCs/>
          <w:shd w:val="clear" w:color="auto" w:fill="FFFFFF"/>
          <w:lang w:eastAsia="zh-CN"/>
        </w:rPr>
        <w:t>p</w:t>
      </w:r>
      <w:r w:rsidRPr="00E55EE7">
        <w:rPr>
          <w:shd w:val="clear" w:color="auto" w:fill="FFFFFF"/>
          <w:vertAlign w:val="superscript"/>
          <w:lang w:eastAsia="zh-CN"/>
        </w:rPr>
        <w:t>2</w:t>
      </w:r>
      <w:r>
        <w:rPr>
          <w:shd w:val="clear" w:color="auto" w:fill="FFFFFF"/>
          <w:lang w:eastAsia="zh-CN"/>
        </w:rPr>
        <w:t xml:space="preserve"> </w:t>
      </w:r>
      <w:r w:rsidRPr="00E55EE7">
        <w:rPr>
          <w:shd w:val="clear" w:color="auto" w:fill="FFFFFF"/>
          <w:lang w:eastAsia="zh-CN"/>
        </w:rPr>
        <w:t>*</w:t>
      </w:r>
      <w:r>
        <w:rPr>
          <w:shd w:val="clear" w:color="auto" w:fill="FFFFFF"/>
          <w:lang w:eastAsia="zh-CN"/>
        </w:rPr>
        <w:t xml:space="preserve"> </w:t>
      </w:r>
      <w:r w:rsidRPr="00E55EE7">
        <w:rPr>
          <w:i/>
          <w:iCs/>
          <w:shd w:val="clear" w:color="auto" w:fill="FFFFFF"/>
          <w:lang w:eastAsia="zh-CN"/>
        </w:rPr>
        <w:t>n</w:t>
      </w:r>
      <w:r>
        <w:rPr>
          <w:shd w:val="clear" w:color="auto" w:fill="FFFFFF"/>
          <w:lang w:eastAsia="zh-CN"/>
        </w:rPr>
        <w:t xml:space="preserve"> </w:t>
      </w:r>
      <w:r w:rsidRPr="00E55EE7">
        <w:rPr>
          <w:shd w:val="clear" w:color="auto" w:fill="FFFFFF"/>
          <w:lang w:eastAsia="zh-CN"/>
        </w:rPr>
        <w:t>= 0.539 * 64 = 34.496) would have the</w:t>
      </w:r>
      <w:r>
        <w:rPr>
          <w:shd w:val="clear" w:color="auto" w:fill="FFFFFF"/>
          <w:lang w:eastAsia="zh-CN"/>
        </w:rPr>
        <w:t xml:space="preserve"> </w:t>
      </w:r>
      <w:r w:rsidRPr="00E55EE7">
        <w:rPr>
          <w:i/>
          <w:iCs/>
          <w:shd w:val="clear" w:color="auto" w:fill="FFFFFF"/>
          <w:lang w:eastAsia="zh-CN"/>
        </w:rPr>
        <w:t>SS</w:t>
      </w:r>
      <w:r>
        <w:rPr>
          <w:shd w:val="clear" w:color="auto" w:fill="FFFFFF"/>
          <w:lang w:eastAsia="zh-CN"/>
        </w:rPr>
        <w:t xml:space="preserve"> </w:t>
      </w:r>
      <w:r w:rsidRPr="00E55EE7">
        <w:rPr>
          <w:shd w:val="clear" w:color="auto" w:fill="FFFFFF"/>
          <w:lang w:eastAsia="zh-CN"/>
        </w:rPr>
        <w:t>genotype, 25 individuals (2</w:t>
      </w:r>
      <w:r w:rsidRPr="00E55EE7">
        <w:rPr>
          <w:i/>
          <w:iCs/>
          <w:shd w:val="clear" w:color="auto" w:fill="FFFFFF"/>
          <w:lang w:eastAsia="zh-CN"/>
        </w:rPr>
        <w:t>pq</w:t>
      </w:r>
      <w:r>
        <w:rPr>
          <w:shd w:val="clear" w:color="auto" w:fill="FFFFFF"/>
          <w:lang w:eastAsia="zh-CN"/>
        </w:rPr>
        <w:t xml:space="preserve"> </w:t>
      </w:r>
      <w:r w:rsidRPr="00E55EE7">
        <w:rPr>
          <w:shd w:val="clear" w:color="auto" w:fill="FFFFFF"/>
          <w:lang w:eastAsia="zh-CN"/>
        </w:rPr>
        <w:t>*</w:t>
      </w:r>
      <w:r>
        <w:rPr>
          <w:shd w:val="clear" w:color="auto" w:fill="FFFFFF"/>
          <w:lang w:eastAsia="zh-CN"/>
        </w:rPr>
        <w:t xml:space="preserve"> </w:t>
      </w:r>
      <w:r w:rsidRPr="00E55EE7">
        <w:rPr>
          <w:i/>
          <w:iCs/>
          <w:shd w:val="clear" w:color="auto" w:fill="FFFFFF"/>
          <w:lang w:eastAsia="zh-CN"/>
        </w:rPr>
        <w:t>n</w:t>
      </w:r>
      <w:r>
        <w:rPr>
          <w:shd w:val="clear" w:color="auto" w:fill="FFFFFF"/>
          <w:lang w:eastAsia="zh-CN"/>
        </w:rPr>
        <w:t xml:space="preserve"> </w:t>
      </w:r>
      <w:r w:rsidRPr="00E55EE7">
        <w:rPr>
          <w:shd w:val="clear" w:color="auto" w:fill="FFFFFF"/>
          <w:lang w:eastAsia="zh-CN"/>
        </w:rPr>
        <w:t>= 0.390 * 64 = 24.960) would have the</w:t>
      </w:r>
      <w:r>
        <w:rPr>
          <w:shd w:val="clear" w:color="auto" w:fill="FFFFFF"/>
          <w:lang w:eastAsia="zh-CN"/>
        </w:rPr>
        <w:t xml:space="preserve"> </w:t>
      </w:r>
      <w:r w:rsidRPr="00E55EE7">
        <w:rPr>
          <w:i/>
          <w:iCs/>
          <w:shd w:val="clear" w:color="auto" w:fill="FFFFFF"/>
          <w:lang w:eastAsia="zh-CN"/>
        </w:rPr>
        <w:t>SF</w:t>
      </w:r>
      <w:r>
        <w:rPr>
          <w:shd w:val="clear" w:color="auto" w:fill="FFFFFF"/>
          <w:lang w:eastAsia="zh-CN"/>
        </w:rPr>
        <w:t xml:space="preserve"> </w:t>
      </w:r>
      <w:r w:rsidRPr="00E55EE7">
        <w:rPr>
          <w:shd w:val="clear" w:color="auto" w:fill="FFFFFF"/>
          <w:lang w:eastAsia="zh-CN"/>
        </w:rPr>
        <w:t>genotype, and 5 individuals (</w:t>
      </w:r>
      <w:r w:rsidRPr="00E55EE7">
        <w:rPr>
          <w:i/>
          <w:iCs/>
          <w:shd w:val="clear" w:color="auto" w:fill="FFFFFF"/>
          <w:lang w:eastAsia="zh-CN"/>
        </w:rPr>
        <w:t>q</w:t>
      </w:r>
      <w:r w:rsidRPr="00E55EE7">
        <w:rPr>
          <w:shd w:val="clear" w:color="auto" w:fill="FFFFFF"/>
          <w:vertAlign w:val="superscript"/>
          <w:lang w:eastAsia="zh-CN"/>
        </w:rPr>
        <w:t>2</w:t>
      </w:r>
      <w:r>
        <w:rPr>
          <w:shd w:val="clear" w:color="auto" w:fill="FFFFFF"/>
          <w:lang w:eastAsia="zh-CN"/>
        </w:rPr>
        <w:t xml:space="preserve"> </w:t>
      </w:r>
      <w:r w:rsidRPr="00E55EE7">
        <w:rPr>
          <w:shd w:val="clear" w:color="auto" w:fill="FFFFFF"/>
          <w:lang w:eastAsia="zh-CN"/>
        </w:rPr>
        <w:t>*</w:t>
      </w:r>
      <w:r>
        <w:rPr>
          <w:shd w:val="clear" w:color="auto" w:fill="FFFFFF"/>
          <w:lang w:eastAsia="zh-CN"/>
        </w:rPr>
        <w:t xml:space="preserve"> </w:t>
      </w:r>
      <w:r w:rsidRPr="00E55EE7">
        <w:rPr>
          <w:i/>
          <w:iCs/>
          <w:shd w:val="clear" w:color="auto" w:fill="FFFFFF"/>
          <w:lang w:eastAsia="zh-CN"/>
        </w:rPr>
        <w:t>n</w:t>
      </w:r>
      <w:r>
        <w:rPr>
          <w:shd w:val="clear" w:color="auto" w:fill="FFFFFF"/>
          <w:lang w:eastAsia="zh-CN"/>
        </w:rPr>
        <w:t xml:space="preserve"> </w:t>
      </w:r>
      <w:r w:rsidRPr="00E55EE7">
        <w:rPr>
          <w:shd w:val="clear" w:color="auto" w:fill="FFFFFF"/>
          <w:lang w:eastAsia="zh-CN"/>
        </w:rPr>
        <w:t>= 0.071 * 64 = 4.544) would have the</w:t>
      </w:r>
      <w:r>
        <w:rPr>
          <w:shd w:val="clear" w:color="auto" w:fill="FFFFFF"/>
          <w:lang w:eastAsia="zh-CN"/>
        </w:rPr>
        <w:t xml:space="preserve"> </w:t>
      </w:r>
      <w:r w:rsidRPr="00E55EE7">
        <w:rPr>
          <w:i/>
          <w:iCs/>
          <w:shd w:val="clear" w:color="auto" w:fill="FFFFFF"/>
          <w:lang w:eastAsia="zh-CN"/>
        </w:rPr>
        <w:t>FF</w:t>
      </w:r>
      <w:r>
        <w:rPr>
          <w:shd w:val="clear" w:color="auto" w:fill="FFFFFF"/>
          <w:lang w:eastAsia="zh-CN"/>
        </w:rPr>
        <w:t xml:space="preserve"> </w:t>
      </w:r>
      <w:r w:rsidRPr="00E55EE7">
        <w:rPr>
          <w:shd w:val="clear" w:color="auto" w:fill="FFFFFF"/>
          <w:lang w:eastAsia="zh-CN"/>
        </w:rPr>
        <w:t>genotype. How do these expected values compare to the observed numbers for genotype frequencies at the EST locus?</w:t>
      </w:r>
    </w:p>
    <w:tbl>
      <w:tblPr>
        <w:tblW w:w="338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1145"/>
        <w:gridCol w:w="1117"/>
        <w:gridCol w:w="1118"/>
      </w:tblGrid>
      <w:tr w:rsidR="00C1513A" w:rsidRPr="00C1513A" w14:paraId="29144530" w14:textId="77777777" w:rsidTr="00B47F8D">
        <w:trPr>
          <w:tblCellSpacing w:w="15" w:type="dxa"/>
          <w:jc w:val="center"/>
        </w:trPr>
        <w:tc>
          <w:tcPr>
            <w:tcW w:w="1627" w:type="pct"/>
            <w:shd w:val="clear" w:color="auto" w:fill="auto"/>
            <w:vAlign w:val="center"/>
            <w:hideMark/>
          </w:tcPr>
          <w:p w14:paraId="78D5E75F" w14:textId="77777777" w:rsidR="00C1513A" w:rsidRPr="00C1513A" w:rsidRDefault="00C1513A" w:rsidP="00B47F8D">
            <w:pPr>
              <w:pStyle w:val="TableContent"/>
              <w:jc w:val="center"/>
              <w:rPr>
                <w:lang w:eastAsia="zh-CN"/>
              </w:rPr>
            </w:pPr>
            <w:r w:rsidRPr="00C1513A">
              <w:rPr>
                <w:lang w:eastAsia="zh-CN"/>
              </w:rPr>
              <w:t>genotype</w:t>
            </w:r>
          </w:p>
        </w:tc>
        <w:tc>
          <w:tcPr>
            <w:tcW w:w="1608" w:type="pct"/>
            <w:shd w:val="clear" w:color="auto" w:fill="auto"/>
            <w:vAlign w:val="center"/>
            <w:hideMark/>
          </w:tcPr>
          <w:p w14:paraId="411A0E9D" w14:textId="77777777" w:rsidR="00C1513A" w:rsidRPr="00C1513A" w:rsidRDefault="00C1513A" w:rsidP="00B47F8D">
            <w:pPr>
              <w:pStyle w:val="TableContent"/>
              <w:jc w:val="center"/>
              <w:rPr>
                <w:lang w:eastAsia="zh-CN"/>
              </w:rPr>
            </w:pPr>
            <w:r w:rsidRPr="00C1513A">
              <w:rPr>
                <w:lang w:eastAsia="zh-CN"/>
              </w:rPr>
              <w:t>observed</w:t>
            </w:r>
          </w:p>
        </w:tc>
        <w:tc>
          <w:tcPr>
            <w:tcW w:w="1587" w:type="pct"/>
            <w:shd w:val="clear" w:color="auto" w:fill="auto"/>
            <w:vAlign w:val="center"/>
            <w:hideMark/>
          </w:tcPr>
          <w:p w14:paraId="1FAF747B" w14:textId="77777777" w:rsidR="00C1513A" w:rsidRPr="00C1513A" w:rsidRDefault="00C1513A" w:rsidP="00B47F8D">
            <w:pPr>
              <w:pStyle w:val="TableContent"/>
              <w:jc w:val="center"/>
              <w:rPr>
                <w:lang w:eastAsia="zh-CN"/>
              </w:rPr>
            </w:pPr>
            <w:r w:rsidRPr="00C1513A">
              <w:rPr>
                <w:lang w:eastAsia="zh-CN"/>
              </w:rPr>
              <w:t>expected</w:t>
            </w:r>
          </w:p>
        </w:tc>
      </w:tr>
      <w:tr w:rsidR="00C1513A" w:rsidRPr="00C1513A" w14:paraId="2D912560" w14:textId="77777777" w:rsidTr="00B47F8D">
        <w:trPr>
          <w:tblCellSpacing w:w="15" w:type="dxa"/>
          <w:jc w:val="center"/>
        </w:trPr>
        <w:tc>
          <w:tcPr>
            <w:tcW w:w="1627" w:type="pct"/>
            <w:shd w:val="clear" w:color="auto" w:fill="auto"/>
            <w:vAlign w:val="center"/>
            <w:hideMark/>
          </w:tcPr>
          <w:p w14:paraId="09AF0640" w14:textId="77777777" w:rsidR="00C1513A" w:rsidRPr="00C1513A" w:rsidRDefault="00C1513A" w:rsidP="00B47F8D">
            <w:pPr>
              <w:pStyle w:val="TableContent"/>
              <w:jc w:val="center"/>
              <w:rPr>
                <w:lang w:eastAsia="zh-CN"/>
              </w:rPr>
            </w:pPr>
            <w:r w:rsidRPr="00C1513A">
              <w:rPr>
                <w:lang w:eastAsia="zh-CN"/>
              </w:rPr>
              <w:t>SS</w:t>
            </w:r>
          </w:p>
        </w:tc>
        <w:tc>
          <w:tcPr>
            <w:tcW w:w="1608" w:type="pct"/>
            <w:shd w:val="clear" w:color="auto" w:fill="auto"/>
            <w:vAlign w:val="center"/>
            <w:hideMark/>
          </w:tcPr>
          <w:p w14:paraId="1A8F877D" w14:textId="77777777" w:rsidR="00C1513A" w:rsidRPr="00C1513A" w:rsidRDefault="00C1513A" w:rsidP="00B47F8D">
            <w:pPr>
              <w:pStyle w:val="TableContent"/>
              <w:jc w:val="center"/>
              <w:rPr>
                <w:lang w:eastAsia="zh-CN"/>
              </w:rPr>
            </w:pPr>
            <w:r w:rsidRPr="00C1513A">
              <w:rPr>
                <w:lang w:eastAsia="zh-CN"/>
              </w:rPr>
              <w:t>37</w:t>
            </w:r>
          </w:p>
        </w:tc>
        <w:tc>
          <w:tcPr>
            <w:tcW w:w="1587" w:type="pct"/>
            <w:shd w:val="clear" w:color="auto" w:fill="auto"/>
            <w:vAlign w:val="center"/>
            <w:hideMark/>
          </w:tcPr>
          <w:p w14:paraId="0F4D8FC5" w14:textId="77777777" w:rsidR="00C1513A" w:rsidRPr="00C1513A" w:rsidRDefault="00C1513A" w:rsidP="00B47F8D">
            <w:pPr>
              <w:pStyle w:val="TableContent"/>
              <w:jc w:val="center"/>
              <w:rPr>
                <w:lang w:eastAsia="zh-CN"/>
              </w:rPr>
            </w:pPr>
            <w:r w:rsidRPr="00C1513A">
              <w:rPr>
                <w:lang w:eastAsia="zh-CN"/>
              </w:rPr>
              <w:t>34</w:t>
            </w:r>
          </w:p>
        </w:tc>
      </w:tr>
      <w:tr w:rsidR="00C1513A" w:rsidRPr="00C1513A" w14:paraId="7D86D0D6" w14:textId="77777777" w:rsidTr="00B47F8D">
        <w:trPr>
          <w:tblCellSpacing w:w="15" w:type="dxa"/>
          <w:jc w:val="center"/>
        </w:trPr>
        <w:tc>
          <w:tcPr>
            <w:tcW w:w="1627" w:type="pct"/>
            <w:shd w:val="clear" w:color="auto" w:fill="auto"/>
            <w:vAlign w:val="center"/>
            <w:hideMark/>
          </w:tcPr>
          <w:p w14:paraId="34539F2E" w14:textId="77777777" w:rsidR="00C1513A" w:rsidRPr="00C1513A" w:rsidRDefault="00C1513A" w:rsidP="00B47F8D">
            <w:pPr>
              <w:pStyle w:val="TableContent"/>
              <w:jc w:val="center"/>
              <w:rPr>
                <w:lang w:eastAsia="zh-CN"/>
              </w:rPr>
            </w:pPr>
            <w:r w:rsidRPr="00C1513A">
              <w:rPr>
                <w:lang w:eastAsia="zh-CN"/>
              </w:rPr>
              <w:t>SF</w:t>
            </w:r>
          </w:p>
        </w:tc>
        <w:tc>
          <w:tcPr>
            <w:tcW w:w="1608" w:type="pct"/>
            <w:shd w:val="clear" w:color="auto" w:fill="auto"/>
            <w:vAlign w:val="center"/>
            <w:hideMark/>
          </w:tcPr>
          <w:p w14:paraId="070E703F" w14:textId="77777777" w:rsidR="00C1513A" w:rsidRPr="00C1513A" w:rsidRDefault="00C1513A" w:rsidP="00B47F8D">
            <w:pPr>
              <w:pStyle w:val="TableContent"/>
              <w:jc w:val="center"/>
              <w:rPr>
                <w:lang w:eastAsia="zh-CN"/>
              </w:rPr>
            </w:pPr>
            <w:r w:rsidRPr="00C1513A">
              <w:rPr>
                <w:lang w:eastAsia="zh-CN"/>
              </w:rPr>
              <w:t>20</w:t>
            </w:r>
          </w:p>
        </w:tc>
        <w:tc>
          <w:tcPr>
            <w:tcW w:w="1587" w:type="pct"/>
            <w:shd w:val="clear" w:color="auto" w:fill="auto"/>
            <w:vAlign w:val="center"/>
            <w:hideMark/>
          </w:tcPr>
          <w:p w14:paraId="4FF4CDC5" w14:textId="77777777" w:rsidR="00C1513A" w:rsidRPr="00C1513A" w:rsidRDefault="00C1513A" w:rsidP="00B47F8D">
            <w:pPr>
              <w:pStyle w:val="TableContent"/>
              <w:jc w:val="center"/>
              <w:rPr>
                <w:lang w:eastAsia="zh-CN"/>
              </w:rPr>
            </w:pPr>
            <w:r w:rsidRPr="00C1513A">
              <w:rPr>
                <w:lang w:eastAsia="zh-CN"/>
              </w:rPr>
              <w:t>25</w:t>
            </w:r>
          </w:p>
        </w:tc>
      </w:tr>
      <w:tr w:rsidR="00C1513A" w:rsidRPr="00C1513A" w14:paraId="2E4E453A" w14:textId="77777777" w:rsidTr="00B47F8D">
        <w:trPr>
          <w:tblCellSpacing w:w="15" w:type="dxa"/>
          <w:jc w:val="center"/>
        </w:trPr>
        <w:tc>
          <w:tcPr>
            <w:tcW w:w="1627" w:type="pct"/>
            <w:shd w:val="clear" w:color="auto" w:fill="auto"/>
            <w:vAlign w:val="center"/>
            <w:hideMark/>
          </w:tcPr>
          <w:p w14:paraId="38068C84" w14:textId="77777777" w:rsidR="00C1513A" w:rsidRPr="00C1513A" w:rsidRDefault="00C1513A" w:rsidP="00B47F8D">
            <w:pPr>
              <w:pStyle w:val="TableContent"/>
              <w:jc w:val="center"/>
              <w:rPr>
                <w:lang w:eastAsia="zh-CN"/>
              </w:rPr>
            </w:pPr>
            <w:r w:rsidRPr="00C1513A">
              <w:rPr>
                <w:lang w:eastAsia="zh-CN"/>
              </w:rPr>
              <w:t>FF</w:t>
            </w:r>
          </w:p>
        </w:tc>
        <w:tc>
          <w:tcPr>
            <w:tcW w:w="1608" w:type="pct"/>
            <w:shd w:val="clear" w:color="auto" w:fill="auto"/>
            <w:vAlign w:val="center"/>
            <w:hideMark/>
          </w:tcPr>
          <w:p w14:paraId="6E4977A5" w14:textId="77777777" w:rsidR="00C1513A" w:rsidRPr="00C1513A" w:rsidRDefault="00C1513A" w:rsidP="00B47F8D">
            <w:pPr>
              <w:pStyle w:val="TableContent"/>
              <w:jc w:val="center"/>
              <w:rPr>
                <w:lang w:eastAsia="zh-CN"/>
              </w:rPr>
            </w:pPr>
            <w:r w:rsidRPr="00C1513A">
              <w:rPr>
                <w:lang w:eastAsia="zh-CN"/>
              </w:rPr>
              <w:t>7</w:t>
            </w:r>
          </w:p>
        </w:tc>
        <w:tc>
          <w:tcPr>
            <w:tcW w:w="1587" w:type="pct"/>
            <w:shd w:val="clear" w:color="auto" w:fill="auto"/>
            <w:vAlign w:val="center"/>
            <w:hideMark/>
          </w:tcPr>
          <w:p w14:paraId="137FF107" w14:textId="77777777" w:rsidR="00C1513A" w:rsidRPr="00C1513A" w:rsidRDefault="00C1513A" w:rsidP="00B47F8D">
            <w:pPr>
              <w:pStyle w:val="TableContent"/>
              <w:jc w:val="center"/>
              <w:rPr>
                <w:lang w:eastAsia="zh-CN"/>
              </w:rPr>
            </w:pPr>
            <w:r w:rsidRPr="00C1513A">
              <w:rPr>
                <w:lang w:eastAsia="zh-CN"/>
              </w:rPr>
              <w:t>5</w:t>
            </w:r>
          </w:p>
        </w:tc>
      </w:tr>
    </w:tbl>
    <w:p w14:paraId="0BC297F1" w14:textId="77777777" w:rsidR="00B47F8D" w:rsidRDefault="00B47F8D" w:rsidP="00B47F8D">
      <w:pPr>
        <w:rPr>
          <w:shd w:val="clear" w:color="auto" w:fill="FFFFFF"/>
          <w:lang w:eastAsia="zh-CN"/>
        </w:rPr>
      </w:pPr>
    </w:p>
    <w:p w14:paraId="434BB22C" w14:textId="77777777" w:rsidR="00E55EE7" w:rsidRPr="00E00D7D" w:rsidRDefault="00B47F8D" w:rsidP="00E00D7D">
      <w:pPr>
        <w:rPr>
          <w:color w:val="auto"/>
          <w:sz w:val="24"/>
          <w:szCs w:val="24"/>
          <w:lang w:eastAsia="zh-CN"/>
        </w:rPr>
      </w:pPr>
      <w:r w:rsidRPr="00B47F8D">
        <w:rPr>
          <w:shd w:val="clear" w:color="auto" w:fill="FFFFFF"/>
          <w:lang w:eastAsia="zh-CN"/>
        </w:rPr>
        <w:t>Generally we would use a statistical test (see</w:t>
      </w:r>
      <w:r w:rsidR="00490CB7">
        <w:rPr>
          <w:shd w:val="clear" w:color="auto" w:fill="FFFFFF"/>
          <w:lang w:eastAsia="zh-CN"/>
        </w:rPr>
        <w:t xml:space="preserve"> </w:t>
      </w:r>
      <w:hyperlink r:id="rId6" w:history="1">
        <w:r w:rsidRPr="00B47F8D">
          <w:rPr>
            <w:color w:val="0000FF"/>
            <w:u w:val="single"/>
            <w:shd w:val="clear" w:color="auto" w:fill="FFFFFF"/>
            <w:lang w:eastAsia="zh-CN"/>
          </w:rPr>
          <w:t>CHI-SQUARE</w:t>
        </w:r>
      </w:hyperlink>
      <w:r w:rsidR="008F028D">
        <w:rPr>
          <w:shd w:val="clear" w:color="auto" w:fill="FFFFFF"/>
          <w:lang w:eastAsia="zh-CN"/>
        </w:rPr>
        <w:t xml:space="preserve"> </w:t>
      </w:r>
      <w:r w:rsidRPr="00B47F8D">
        <w:rPr>
          <w:shd w:val="clear" w:color="auto" w:fill="FFFFFF"/>
          <w:lang w:eastAsia="zh-CN"/>
        </w:rPr>
        <w:t>module) to compare our expected and observed counts. In this case we can see that the numbers are fairly similar, and in fact the authors have used a chi-square test and concluded that the observed and expected counts are not significantly different from one another.</w:t>
      </w:r>
    </w:p>
    <w:p w14:paraId="49FF0F9C" w14:textId="77777777" w:rsidR="00283F45" w:rsidRDefault="00283F45" w:rsidP="00283F45">
      <w:pPr>
        <w:pStyle w:val="Heading1"/>
      </w:pPr>
      <w:r w:rsidRPr="00283F45">
        <w:t>Interpretation</w:t>
      </w:r>
    </w:p>
    <w:p w14:paraId="5906B467" w14:textId="77777777" w:rsidR="008E6A8B" w:rsidRPr="0059703C" w:rsidRDefault="0059703C" w:rsidP="008E6A8B">
      <w:pPr>
        <w:rPr>
          <w:color w:val="auto"/>
          <w:sz w:val="24"/>
          <w:szCs w:val="24"/>
          <w:lang w:eastAsia="zh-CN"/>
        </w:rPr>
      </w:pPr>
      <w:r w:rsidRPr="0059703C">
        <w:rPr>
          <w:shd w:val="clear" w:color="auto" w:fill="FFFFFF"/>
          <w:lang w:eastAsia="zh-CN"/>
        </w:rPr>
        <w:t>We can check our math to ensure that we have calculated the correct genotype frequencies:</w:t>
      </w:r>
      <w:r w:rsidR="0060787A">
        <w:rPr>
          <w:shd w:val="clear" w:color="auto" w:fill="FFFFFF"/>
          <w:lang w:eastAsia="zh-CN"/>
        </w:rPr>
        <w:t xml:space="preserve"> </w:t>
      </w:r>
      <w:r w:rsidRPr="0059703C">
        <w:rPr>
          <w:i/>
          <w:iCs/>
          <w:shd w:val="clear" w:color="auto" w:fill="FFFFFF"/>
          <w:lang w:eastAsia="zh-CN"/>
        </w:rPr>
        <w:t>p</w:t>
      </w:r>
      <w:r w:rsidRPr="0059703C">
        <w:rPr>
          <w:sz w:val="24"/>
          <w:szCs w:val="24"/>
          <w:shd w:val="clear" w:color="auto" w:fill="FFFFFF"/>
          <w:vertAlign w:val="superscript"/>
          <w:lang w:eastAsia="zh-CN"/>
        </w:rPr>
        <w:t>2</w:t>
      </w:r>
      <w:r w:rsidR="0060787A">
        <w:rPr>
          <w:shd w:val="clear" w:color="auto" w:fill="FFFFFF"/>
          <w:lang w:eastAsia="zh-CN"/>
        </w:rPr>
        <w:t xml:space="preserve"> </w:t>
      </w:r>
      <w:r w:rsidRPr="0059703C">
        <w:rPr>
          <w:shd w:val="clear" w:color="auto" w:fill="FFFFFF"/>
          <w:lang w:eastAsia="zh-CN"/>
        </w:rPr>
        <w:t>+ 2</w:t>
      </w:r>
      <w:r w:rsidRPr="0059703C">
        <w:rPr>
          <w:i/>
          <w:iCs/>
          <w:shd w:val="clear" w:color="auto" w:fill="FFFFFF"/>
          <w:lang w:eastAsia="zh-CN"/>
        </w:rPr>
        <w:t>pq</w:t>
      </w:r>
      <w:r w:rsidR="0060787A">
        <w:rPr>
          <w:shd w:val="clear" w:color="auto" w:fill="FFFFFF"/>
          <w:lang w:eastAsia="zh-CN"/>
        </w:rPr>
        <w:t xml:space="preserve"> </w:t>
      </w:r>
      <w:r w:rsidRPr="0059703C">
        <w:rPr>
          <w:shd w:val="clear" w:color="auto" w:fill="FFFFFF"/>
          <w:lang w:eastAsia="zh-CN"/>
        </w:rPr>
        <w:t>+</w:t>
      </w:r>
      <w:r w:rsidR="0060787A">
        <w:rPr>
          <w:shd w:val="clear" w:color="auto" w:fill="FFFFFF"/>
          <w:lang w:eastAsia="zh-CN"/>
        </w:rPr>
        <w:t xml:space="preserve"> </w:t>
      </w:r>
      <w:r w:rsidRPr="0059703C">
        <w:rPr>
          <w:i/>
          <w:iCs/>
          <w:shd w:val="clear" w:color="auto" w:fill="FFFFFF"/>
          <w:lang w:eastAsia="zh-CN"/>
        </w:rPr>
        <w:t>q</w:t>
      </w:r>
      <w:r w:rsidRPr="0059703C">
        <w:rPr>
          <w:sz w:val="24"/>
          <w:szCs w:val="24"/>
          <w:shd w:val="clear" w:color="auto" w:fill="FFFFFF"/>
          <w:vertAlign w:val="superscript"/>
          <w:lang w:eastAsia="zh-CN"/>
        </w:rPr>
        <w:t>2</w:t>
      </w:r>
      <w:r w:rsidR="0060787A">
        <w:rPr>
          <w:shd w:val="clear" w:color="auto" w:fill="FFFFFF"/>
          <w:lang w:eastAsia="zh-CN"/>
        </w:rPr>
        <w:t xml:space="preserve"> </w:t>
      </w:r>
      <w:r w:rsidRPr="0059703C">
        <w:rPr>
          <w:shd w:val="clear" w:color="auto" w:fill="FFFFFF"/>
          <w:lang w:eastAsia="zh-CN"/>
        </w:rPr>
        <w:t>should equal 1, and (0.734)</w:t>
      </w:r>
      <w:r w:rsidRPr="0059703C">
        <w:rPr>
          <w:sz w:val="24"/>
          <w:szCs w:val="24"/>
          <w:shd w:val="clear" w:color="auto" w:fill="FFFFFF"/>
          <w:vertAlign w:val="superscript"/>
          <w:lang w:eastAsia="zh-CN"/>
        </w:rPr>
        <w:t>2</w:t>
      </w:r>
      <w:r w:rsidR="00D05FF3">
        <w:rPr>
          <w:shd w:val="clear" w:color="auto" w:fill="FFFFFF"/>
          <w:lang w:eastAsia="zh-CN"/>
        </w:rPr>
        <w:t xml:space="preserve"> </w:t>
      </w:r>
      <w:r w:rsidRPr="0059703C">
        <w:rPr>
          <w:shd w:val="clear" w:color="auto" w:fill="FFFFFF"/>
          <w:lang w:eastAsia="zh-CN"/>
        </w:rPr>
        <w:t>+ 2(0.734(0.266) + (0.266)</w:t>
      </w:r>
      <w:r w:rsidRPr="0059703C">
        <w:rPr>
          <w:sz w:val="24"/>
          <w:szCs w:val="24"/>
          <w:shd w:val="clear" w:color="auto" w:fill="FFFFFF"/>
          <w:vertAlign w:val="superscript"/>
          <w:lang w:eastAsia="zh-CN"/>
        </w:rPr>
        <w:t>2</w:t>
      </w:r>
      <w:r w:rsidR="00D47A50">
        <w:rPr>
          <w:shd w:val="clear" w:color="auto" w:fill="FFFFFF"/>
          <w:lang w:eastAsia="zh-CN"/>
        </w:rPr>
        <w:t xml:space="preserve"> </w:t>
      </w:r>
      <w:r w:rsidRPr="0059703C">
        <w:rPr>
          <w:shd w:val="clear" w:color="auto" w:fill="FFFFFF"/>
          <w:lang w:eastAsia="zh-CN"/>
        </w:rPr>
        <w:t>does indeed equal 1. Similarly,</w:t>
      </w:r>
      <w:r w:rsidR="00D05FF3">
        <w:rPr>
          <w:shd w:val="clear" w:color="auto" w:fill="FFFFFF"/>
          <w:lang w:eastAsia="zh-CN"/>
        </w:rPr>
        <w:t xml:space="preserve"> </w:t>
      </w:r>
      <w:r w:rsidRPr="0059703C">
        <w:rPr>
          <w:i/>
          <w:iCs/>
          <w:shd w:val="clear" w:color="auto" w:fill="FFFFFF"/>
          <w:lang w:eastAsia="zh-CN"/>
        </w:rPr>
        <w:t>p</w:t>
      </w:r>
      <w:r w:rsidR="00D05FF3">
        <w:rPr>
          <w:shd w:val="clear" w:color="auto" w:fill="FFFFFF"/>
          <w:lang w:eastAsia="zh-CN"/>
        </w:rPr>
        <w:t xml:space="preserve"> </w:t>
      </w:r>
      <w:r w:rsidRPr="0059703C">
        <w:rPr>
          <w:shd w:val="clear" w:color="auto" w:fill="FFFFFF"/>
          <w:lang w:eastAsia="zh-CN"/>
        </w:rPr>
        <w:t>+</w:t>
      </w:r>
      <w:r w:rsidR="00D05FF3">
        <w:rPr>
          <w:shd w:val="clear" w:color="auto" w:fill="FFFFFF"/>
          <w:lang w:eastAsia="zh-CN"/>
        </w:rPr>
        <w:t xml:space="preserve"> </w:t>
      </w:r>
      <w:r w:rsidRPr="0059703C">
        <w:rPr>
          <w:i/>
          <w:iCs/>
          <w:shd w:val="clear" w:color="auto" w:fill="FFFFFF"/>
          <w:lang w:eastAsia="zh-CN"/>
        </w:rPr>
        <w:t>q</w:t>
      </w:r>
      <w:r w:rsidR="00D05FF3">
        <w:rPr>
          <w:i/>
          <w:iCs/>
          <w:shd w:val="clear" w:color="auto" w:fill="FFFFFF"/>
          <w:lang w:eastAsia="zh-CN"/>
        </w:rPr>
        <w:t xml:space="preserve"> </w:t>
      </w:r>
      <w:r w:rsidRPr="0059703C">
        <w:rPr>
          <w:shd w:val="clear" w:color="auto" w:fill="FFFFFF"/>
          <w:lang w:eastAsia="zh-CN"/>
        </w:rPr>
        <w:t>must equal 1 and 0.734 + 0.266 = 1. Our results suggest that for the California sea otter population, the allele and genotype frequencies at the EST locus are in Hardy-Weinberg equilibrium. In other words, we can expect these allele frequencies to remain constant over time (barring any specific evolutionary forces acting upon this locus), thus ensuring genetic variation in the population at the EST locus. This equilibrium in the genetic structure of the population at the EST locus does not necessarily imply, however, that the population is not evolving; it merely indicates that this particular locus is not changing. Even if the frequency of alleles at just a single locus is changing over the generations, the population is evolving.</w:t>
      </w:r>
    </w:p>
    <w:p w14:paraId="7143C05C" w14:textId="77777777" w:rsidR="00283F45" w:rsidRDefault="00283F45" w:rsidP="00283F45">
      <w:pPr>
        <w:pStyle w:val="Heading1"/>
      </w:pPr>
      <w:r>
        <w:lastRenderedPageBreak/>
        <w:t>Conclusion</w:t>
      </w:r>
    </w:p>
    <w:p w14:paraId="4F378DAB" w14:textId="77777777" w:rsidR="008E6A8B" w:rsidRPr="008E6A8B" w:rsidRDefault="00C0362A" w:rsidP="008E6A8B">
      <w:r w:rsidRPr="00C0362A">
        <w:t>Natural populations with whole genotypes in Hardy-Weinberg equilibrium are rarely found; one or more of the assumptions are violated in most situations. If nothing else, most populations are under the influence of natural selection. Certainly, no population can be infinite, but many populations are not even large enough to be functionally infinite. Oftentimes populations are not completely isolated from one another, and migration of individuals into or out of one population can change its genetic makeup. Mutations can potentially alter the gene pool significantly, although the majority are thought to have little or no effect (neutral mutations). Finally, individuals often mate selectively rather than randomly; for example, humans show assortative mating by height (tall people tend to marry tall people and short people tend to marry short people).</w:t>
      </w:r>
    </w:p>
    <w:p w14:paraId="2142C9E4" w14:textId="77777777" w:rsidR="008E6A8B" w:rsidRDefault="008E6A8B" w:rsidP="00283F45">
      <w:pPr>
        <w:pStyle w:val="Heading1"/>
      </w:pPr>
      <w:r>
        <w:t>Additional Questions</w:t>
      </w:r>
    </w:p>
    <w:p w14:paraId="1A47F178" w14:textId="77777777" w:rsidR="00901F8B" w:rsidRDefault="00901F8B" w:rsidP="005A1854">
      <w:pPr>
        <w:rPr>
          <w:lang w:eastAsia="zh-CN"/>
        </w:rPr>
      </w:pPr>
      <w:r>
        <w:t>1) For which loci are the genotypes apparently not in Hardy-Weinberg equilibrium (note that</w:t>
      </w:r>
      <w:r w:rsidR="0084625C">
        <w:t xml:space="preserve"> </w:t>
      </w:r>
      <w:r>
        <w:rPr>
          <w:i/>
          <w:iCs/>
        </w:rPr>
        <w:t>n</w:t>
      </w:r>
      <w:r w:rsidR="0084625C">
        <w:t xml:space="preserve"> </w:t>
      </w:r>
      <w:r>
        <w:t>is different for each locus investigated)? Is this true for both populations?</w:t>
      </w:r>
    </w:p>
    <w:p w14:paraId="55074090" w14:textId="77777777" w:rsidR="00901F8B" w:rsidRDefault="00901F8B" w:rsidP="005A1854">
      <w:r>
        <w:t>2) What might affect the validity of your conclusions about the Alaska population?</w:t>
      </w:r>
    </w:p>
    <w:p w14:paraId="1244C874" w14:textId="77777777" w:rsidR="008E6A8B" w:rsidRPr="008E6A8B" w:rsidRDefault="00901F8B" w:rsidP="005A1854">
      <w:r>
        <w:rPr>
          <w:i/>
          <w:iCs/>
        </w:rPr>
        <w:t>Extra credit</w:t>
      </w:r>
      <w:r>
        <w:t>:</w:t>
      </w:r>
      <w:r w:rsidR="00FB1C4D">
        <w:t xml:space="preserve"> </w:t>
      </w:r>
      <w:r>
        <w:t>Confirm some or all of your conclusions for #1 by performing a chi-square test (see</w:t>
      </w:r>
      <w:r w:rsidR="0067447A">
        <w:t xml:space="preserve"> </w:t>
      </w:r>
      <w:hyperlink r:id="rId7" w:history="1">
        <w:r>
          <w:rPr>
            <w:rStyle w:val="Hyperlink"/>
            <w:rFonts w:ascii="Times" w:hAnsi="Times"/>
          </w:rPr>
          <w:t>CHI-SQUARE</w:t>
        </w:r>
      </w:hyperlink>
      <w:r w:rsidR="00617A2A">
        <w:t xml:space="preserve"> </w:t>
      </w:r>
      <w:r>
        <w:t>module).</w:t>
      </w:r>
      <w:r w:rsidR="00227AB7">
        <w:t xml:space="preserve"> </w:t>
      </w:r>
      <w:r>
        <w:t>The null hypothesis you are testing is that the observed and expected values are not significantly different from one another (because your expected values are calculated based on an assumption of Hardy-Weinberg equilibrium, this is the same as saying that the population is in H-W equilibrium for the genotype being tested).</w:t>
      </w:r>
      <w:r w:rsidR="00642396">
        <w:t xml:space="preserve"> </w:t>
      </w:r>
      <w:r>
        <w:t>The critical value for the chi-square in this case is 3.841; if your calculated value of the chi-square is equal to or greater than that, the probability of the null hypothesis being correct (i.e., the probability of the population being in H-W equilibrium at that genotype) is 0.05, and the null hypothesis is rejected.</w:t>
      </w:r>
    </w:p>
    <w:p w14:paraId="73CAD272" w14:textId="77777777" w:rsidR="00283F45" w:rsidRDefault="00283F45" w:rsidP="00283F45">
      <w:pPr>
        <w:pStyle w:val="Heading1"/>
      </w:pPr>
      <w:r>
        <w:t>Source</w:t>
      </w:r>
    </w:p>
    <w:p w14:paraId="46F8441E" w14:textId="77777777" w:rsidR="00D76B53" w:rsidRDefault="00D76B53" w:rsidP="00C91D46">
      <w:r>
        <w:t xml:space="preserve">Campbell, N. A. 1996. </w:t>
      </w:r>
      <w:r w:rsidRPr="00C91D46">
        <w:rPr>
          <w:i/>
        </w:rPr>
        <w:t>Biology, 4th ed</w:t>
      </w:r>
      <w:r>
        <w:t>. Benjamin/Cummings Publishing Co., Menlo Park, CA.</w:t>
      </w:r>
    </w:p>
    <w:p w14:paraId="3D5A1189" w14:textId="77777777" w:rsidR="00D76B53" w:rsidRDefault="00D76B53" w:rsidP="00C91D46">
      <w:proofErr w:type="spellStart"/>
      <w:r>
        <w:t>Hartl</w:t>
      </w:r>
      <w:proofErr w:type="spellEnd"/>
      <w:r>
        <w:t xml:space="preserve">, D. L. 1988. </w:t>
      </w:r>
      <w:r w:rsidRPr="00C91D46">
        <w:rPr>
          <w:i/>
        </w:rPr>
        <w:t>A Primer of Population Genetics, 2nd ed</w:t>
      </w:r>
      <w:r>
        <w:t>. Sinauer Associates, Inc., Sunderland, MA.</w:t>
      </w:r>
    </w:p>
    <w:p w14:paraId="435F780E" w14:textId="77777777" w:rsidR="008E6A8B" w:rsidRDefault="00D76B53" w:rsidP="00C91D46">
      <w:proofErr w:type="spellStart"/>
      <w:r>
        <w:t>Lidicker</w:t>
      </w:r>
      <w:proofErr w:type="spellEnd"/>
      <w:r>
        <w:t xml:space="preserve">, W. Z. and F. C. McCollum. 1997. </w:t>
      </w:r>
      <w:r w:rsidRPr="00C91D46">
        <w:rPr>
          <w:i/>
        </w:rPr>
        <w:t>Allozymic variation in California sea otters</w:t>
      </w:r>
      <w:r>
        <w:t>. Journal of Mammalogy 78:417-425</w:t>
      </w:r>
    </w:p>
    <w:p w14:paraId="408D8F45" w14:textId="77777777" w:rsidR="00A207B5" w:rsidRPr="00283F45" w:rsidRDefault="00A207B5" w:rsidP="00283F45">
      <w:pPr>
        <w:pStyle w:val="Heading1"/>
      </w:pPr>
      <w:r w:rsidRPr="00283F45">
        <w:lastRenderedPageBreak/>
        <w:t>About this Resource</w:t>
      </w:r>
    </w:p>
    <w:p w14:paraId="11BE3046"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484E979D"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0A1B45FE"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1BEE" w14:textId="77777777" w:rsidR="0049376E" w:rsidRDefault="0049376E" w:rsidP="00A207B5">
      <w:r>
        <w:separator/>
      </w:r>
    </w:p>
  </w:endnote>
  <w:endnote w:type="continuationSeparator" w:id="0">
    <w:p w14:paraId="02BF7CBD" w14:textId="77777777" w:rsidR="0049376E" w:rsidRDefault="0049376E" w:rsidP="00A207B5">
      <w:r>
        <w:continuationSeparator/>
      </w:r>
    </w:p>
  </w:endnote>
  <w:endnote w:id="1">
    <w:p w14:paraId="34BE2948" w14:textId="77777777" w:rsidR="00A207B5" w:rsidRDefault="00A207B5" w:rsidP="00A207B5">
      <w:pPr>
        <w:pStyle w:val="EndnoteText"/>
      </w:pPr>
      <w:r>
        <w:rPr>
          <w:rStyle w:val="EndnoteReference"/>
        </w:rPr>
        <w:endnoteRef/>
      </w:r>
      <w:r>
        <w:t xml:space="preserve"> http://www.tiem.utk.edu/~gross/bioed/</w:t>
      </w:r>
    </w:p>
  </w:endnote>
  <w:endnote w:id="2">
    <w:p w14:paraId="7E429056" w14:textId="77777777" w:rsidR="00A207B5" w:rsidRDefault="00A207B5" w:rsidP="00A207B5">
      <w:pPr>
        <w:pStyle w:val="EndnoteText"/>
      </w:pPr>
      <w:r>
        <w:rPr>
          <w:rStyle w:val="EndnoteReference"/>
        </w:rPr>
        <w:endnoteRef/>
      </w:r>
      <w:r>
        <w:t xml:space="preserve"> https://qubeshub.org/community/groups/quantbioatcc/</w:t>
      </w:r>
    </w:p>
  </w:endnote>
  <w:endnote w:id="3">
    <w:p w14:paraId="5AA823A2"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7F6BE95F" w14:textId="69C39E7A" w:rsidR="00A207B5" w:rsidRDefault="00A207B5" w:rsidP="00A207B5">
      <w:pPr>
        <w:pStyle w:val="EndnoteText"/>
      </w:pPr>
      <w:r>
        <w:rPr>
          <w:rStyle w:val="EndnoteReference"/>
        </w:rPr>
        <w:endnoteRef/>
      </w:r>
      <w:r>
        <w:t xml:space="preserve"> </w:t>
      </w:r>
      <w:r w:rsidRPr="00B50C5B">
        <w:t>https://qubeshub.org/qubesresources/publications/</w:t>
      </w:r>
      <w:r w:rsidR="00892CE9">
        <w:t>1051</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84F9" w14:textId="77777777" w:rsidR="0049376E" w:rsidRDefault="0049376E" w:rsidP="00A207B5">
      <w:r>
        <w:separator/>
      </w:r>
    </w:p>
  </w:footnote>
  <w:footnote w:type="continuationSeparator" w:id="0">
    <w:p w14:paraId="7C7A7FCE" w14:textId="77777777" w:rsidR="0049376E" w:rsidRDefault="0049376E"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BB"/>
    <w:rsid w:val="0000070F"/>
    <w:rsid w:val="00065DF5"/>
    <w:rsid w:val="000D79DD"/>
    <w:rsid w:val="001D6D61"/>
    <w:rsid w:val="001E2492"/>
    <w:rsid w:val="00227AB7"/>
    <w:rsid w:val="00283F45"/>
    <w:rsid w:val="002B4EE3"/>
    <w:rsid w:val="002C4A71"/>
    <w:rsid w:val="0034648C"/>
    <w:rsid w:val="00350440"/>
    <w:rsid w:val="003607A8"/>
    <w:rsid w:val="00384D2C"/>
    <w:rsid w:val="003C13EB"/>
    <w:rsid w:val="003E16FC"/>
    <w:rsid w:val="0040483E"/>
    <w:rsid w:val="004562F1"/>
    <w:rsid w:val="00490CB7"/>
    <w:rsid w:val="0049376E"/>
    <w:rsid w:val="004961BB"/>
    <w:rsid w:val="005270C6"/>
    <w:rsid w:val="00593B02"/>
    <w:rsid w:val="0059703C"/>
    <w:rsid w:val="005A1854"/>
    <w:rsid w:val="0060787A"/>
    <w:rsid w:val="00617A2A"/>
    <w:rsid w:val="00621462"/>
    <w:rsid w:val="0062507C"/>
    <w:rsid w:val="00642396"/>
    <w:rsid w:val="0067447A"/>
    <w:rsid w:val="006F33B8"/>
    <w:rsid w:val="007F0B29"/>
    <w:rsid w:val="0084625C"/>
    <w:rsid w:val="00892CE9"/>
    <w:rsid w:val="00893506"/>
    <w:rsid w:val="00897E96"/>
    <w:rsid w:val="008E6A8B"/>
    <w:rsid w:val="008F028D"/>
    <w:rsid w:val="00901F8B"/>
    <w:rsid w:val="009F2F12"/>
    <w:rsid w:val="00A1068B"/>
    <w:rsid w:val="00A207B5"/>
    <w:rsid w:val="00AE5114"/>
    <w:rsid w:val="00B47F8D"/>
    <w:rsid w:val="00B51E60"/>
    <w:rsid w:val="00BE3B85"/>
    <w:rsid w:val="00C0362A"/>
    <w:rsid w:val="00C1513A"/>
    <w:rsid w:val="00C91D46"/>
    <w:rsid w:val="00CC5D6E"/>
    <w:rsid w:val="00CD3585"/>
    <w:rsid w:val="00D05FF3"/>
    <w:rsid w:val="00D3524F"/>
    <w:rsid w:val="00D47A50"/>
    <w:rsid w:val="00D76B53"/>
    <w:rsid w:val="00DB5A46"/>
    <w:rsid w:val="00DB5B51"/>
    <w:rsid w:val="00DD40C6"/>
    <w:rsid w:val="00E00D7D"/>
    <w:rsid w:val="00E55EE7"/>
    <w:rsid w:val="00EC2936"/>
    <w:rsid w:val="00EF4396"/>
    <w:rsid w:val="00F17EEA"/>
    <w:rsid w:val="00FB1C4D"/>
    <w:rsid w:val="00FF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0D69A7"/>
  <w15:chartTrackingRefBased/>
  <w15:docId w15:val="{3A6D2D15-071B-F549-8F34-68349C91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B51E60"/>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5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E60"/>
    <w:rPr>
      <w:color w:val="808080"/>
    </w:rPr>
  </w:style>
  <w:style w:type="character" w:styleId="Hyperlink">
    <w:name w:val="Hyperlink"/>
    <w:basedOn w:val="DefaultParagraphFont"/>
    <w:uiPriority w:val="99"/>
    <w:semiHidden/>
    <w:unhideWhenUsed/>
    <w:rsid w:val="00B47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904">
      <w:bodyDiv w:val="1"/>
      <w:marLeft w:val="0"/>
      <w:marRight w:val="0"/>
      <w:marTop w:val="0"/>
      <w:marBottom w:val="0"/>
      <w:divBdr>
        <w:top w:val="none" w:sz="0" w:space="0" w:color="auto"/>
        <w:left w:val="none" w:sz="0" w:space="0" w:color="auto"/>
        <w:bottom w:val="none" w:sz="0" w:space="0" w:color="auto"/>
        <w:right w:val="none" w:sz="0" w:space="0" w:color="auto"/>
      </w:divBdr>
    </w:div>
    <w:div w:id="446048150">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580020572">
      <w:bodyDiv w:val="1"/>
      <w:marLeft w:val="0"/>
      <w:marRight w:val="0"/>
      <w:marTop w:val="0"/>
      <w:marBottom w:val="0"/>
      <w:divBdr>
        <w:top w:val="none" w:sz="0" w:space="0" w:color="auto"/>
        <w:left w:val="none" w:sz="0" w:space="0" w:color="auto"/>
        <w:bottom w:val="none" w:sz="0" w:space="0" w:color="auto"/>
        <w:right w:val="none" w:sz="0" w:space="0" w:color="auto"/>
      </w:divBdr>
    </w:div>
    <w:div w:id="612832179">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927539447">
      <w:bodyDiv w:val="1"/>
      <w:marLeft w:val="0"/>
      <w:marRight w:val="0"/>
      <w:marTop w:val="0"/>
      <w:marBottom w:val="0"/>
      <w:divBdr>
        <w:top w:val="none" w:sz="0" w:space="0" w:color="auto"/>
        <w:left w:val="none" w:sz="0" w:space="0" w:color="auto"/>
        <w:bottom w:val="none" w:sz="0" w:space="0" w:color="auto"/>
        <w:right w:val="none" w:sz="0" w:space="0" w:color="auto"/>
      </w:divBdr>
    </w:div>
    <w:div w:id="939335605">
      <w:bodyDiv w:val="1"/>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016230099">
      <w:bodyDiv w:val="1"/>
      <w:marLeft w:val="0"/>
      <w:marRight w:val="0"/>
      <w:marTop w:val="0"/>
      <w:marBottom w:val="0"/>
      <w:divBdr>
        <w:top w:val="none" w:sz="0" w:space="0" w:color="auto"/>
        <w:left w:val="none" w:sz="0" w:space="0" w:color="auto"/>
        <w:bottom w:val="none" w:sz="0" w:space="0" w:color="auto"/>
        <w:right w:val="none" w:sz="0" w:space="0" w:color="auto"/>
      </w:divBdr>
    </w:div>
    <w:div w:id="1395810970">
      <w:bodyDiv w:val="1"/>
      <w:marLeft w:val="0"/>
      <w:marRight w:val="0"/>
      <w:marTop w:val="0"/>
      <w:marBottom w:val="0"/>
      <w:divBdr>
        <w:top w:val="none" w:sz="0" w:space="0" w:color="auto"/>
        <w:left w:val="none" w:sz="0" w:space="0" w:color="auto"/>
        <w:bottom w:val="none" w:sz="0" w:space="0" w:color="auto"/>
        <w:right w:val="none" w:sz="0" w:space="0" w:color="auto"/>
      </w:divBdr>
    </w:div>
    <w:div w:id="2048675695">
      <w:bodyDiv w:val="1"/>
      <w:marLeft w:val="0"/>
      <w:marRight w:val="0"/>
      <w:marTop w:val="0"/>
      <w:marBottom w:val="0"/>
      <w:divBdr>
        <w:top w:val="none" w:sz="0" w:space="0" w:color="auto"/>
        <w:left w:val="none" w:sz="0" w:space="0" w:color="auto"/>
        <w:bottom w:val="none" w:sz="0" w:space="0" w:color="auto"/>
        <w:right w:val="none" w:sz="0" w:space="0" w:color="auto"/>
      </w:divBdr>
    </w:div>
    <w:div w:id="21076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em.utk.edu/~gross/bioed/bealsmodules/chi-squa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chi-squar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23</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47</cp:revision>
  <dcterms:created xsi:type="dcterms:W3CDTF">2018-12-30T21:17:00Z</dcterms:created>
  <dcterms:modified xsi:type="dcterms:W3CDTF">2019-02-04T04:02:00Z</dcterms:modified>
</cp:coreProperties>
</file>