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D16D" w14:textId="77777777" w:rsidR="00A207B5" w:rsidRPr="00A207B5" w:rsidRDefault="003D194D" w:rsidP="00A207B5">
      <w:pPr>
        <w:pStyle w:val="Title"/>
      </w:pPr>
      <w:r w:rsidRPr="003D194D">
        <w:t>Population Bottlenecks: Heterozygosity vs. Allelic Diversity</w:t>
      </w:r>
    </w:p>
    <w:p w14:paraId="38D4F673" w14:textId="77777777" w:rsidR="00A207B5" w:rsidRDefault="00A207B5" w:rsidP="00283F45">
      <w:pPr>
        <w:pStyle w:val="Heading1"/>
      </w:pPr>
      <w:r w:rsidRPr="00283F45">
        <w:t>Introduction</w:t>
      </w:r>
    </w:p>
    <w:p w14:paraId="5CFF67ED" w14:textId="77777777" w:rsidR="008E6A8B" w:rsidRPr="008E6A8B" w:rsidRDefault="00BA7DEF" w:rsidP="008E6A8B">
      <w:r w:rsidRPr="00BA7DEF">
        <w:t>Temporary but significant reductions in population size are referred to as population bottlenecks. The effects can vary depending on both the size to which the population is reduced and the duration of the bottleneck (i.e., the number of generations). Limited population size can lead to a loss of genetic variation and subsequent loss of evolutionary potential.</w:t>
      </w:r>
    </w:p>
    <w:p w14:paraId="4D42DA3F" w14:textId="77777777" w:rsidR="00283F45" w:rsidRDefault="00283F45" w:rsidP="00283F45">
      <w:pPr>
        <w:pStyle w:val="Heading1"/>
      </w:pPr>
      <w:r w:rsidRPr="00283F45">
        <w:t>Importance</w:t>
      </w:r>
    </w:p>
    <w:p w14:paraId="18BB72FD" w14:textId="77777777" w:rsidR="008E6A8B" w:rsidRPr="008E6A8B" w:rsidRDefault="001647AF" w:rsidP="008E6A8B">
      <w:r w:rsidRPr="001647AF">
        <w:t>Loss of genetic variation has been of particular concern in captive populations, whose sizes tend to be small over many generations out of practical necessity. Populations of endangered species also tend to be small, and loss of genetic variation seriously threatens their abilities to persist and recover.</w:t>
      </w:r>
    </w:p>
    <w:p w14:paraId="6A370E0D" w14:textId="77777777" w:rsidR="00283F45" w:rsidRDefault="00283F45" w:rsidP="00283F45">
      <w:pPr>
        <w:pStyle w:val="Heading1"/>
      </w:pPr>
      <w:r>
        <w:t>Questions</w:t>
      </w:r>
    </w:p>
    <w:p w14:paraId="5D230720" w14:textId="77777777" w:rsidR="008E6A8B" w:rsidRPr="008E6A8B" w:rsidRDefault="00D37D51" w:rsidP="008E6A8B">
      <w:r w:rsidRPr="00D37D51">
        <w:t>How do we measure loss of genetic variation? Do the different measures yield similar estimates of the amount of variation lost?</w:t>
      </w:r>
    </w:p>
    <w:p w14:paraId="23D540E0" w14:textId="77777777" w:rsidR="00283F45" w:rsidRDefault="00283F45" w:rsidP="00283F45">
      <w:pPr>
        <w:pStyle w:val="Heading1"/>
      </w:pPr>
      <w:r>
        <w:t>Variables</w:t>
      </w:r>
    </w:p>
    <w:p w14:paraId="47269A94" w14:textId="77777777" w:rsidR="008D2491" w:rsidRPr="008D2491" w:rsidRDefault="008D2491" w:rsidP="008D2491">
      <w:pPr>
        <w:spacing w:after="0" w:line="240" w:lineRule="auto"/>
        <w:rPr>
          <w:color w:val="auto"/>
          <w:sz w:val="24"/>
          <w:szCs w:val="24"/>
          <w:lang w:eastAsia="zh-CN"/>
        </w:rPr>
      </w:pPr>
    </w:p>
    <w:tbl>
      <w:tblPr>
        <w:tblW w:w="37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39"/>
        <w:gridCol w:w="3341"/>
      </w:tblGrid>
      <w:tr w:rsidR="008D2491" w:rsidRPr="008D2491" w14:paraId="45D8FEA9" w14:textId="77777777" w:rsidTr="008D2491">
        <w:trPr>
          <w:trHeight w:val="280"/>
          <w:tblCellSpacing w:w="15" w:type="dxa"/>
        </w:trPr>
        <w:tc>
          <w:tcPr>
            <w:tcW w:w="450" w:type="pct"/>
            <w:shd w:val="clear" w:color="auto" w:fill="FFFFFF"/>
            <w:hideMark/>
          </w:tcPr>
          <w:p w14:paraId="2F050B5D" w14:textId="77777777" w:rsidR="008D2491" w:rsidRPr="008D2491" w:rsidRDefault="008D2491" w:rsidP="008D2491">
            <w:pPr>
              <w:pStyle w:val="TableContent"/>
              <w:rPr>
                <w:lang w:eastAsia="zh-CN"/>
              </w:rPr>
            </w:pPr>
            <w:r w:rsidRPr="008D2491">
              <w:rPr>
                <w:lang w:eastAsia="zh-CN"/>
              </w:rPr>
              <w:t>H</w:t>
            </w:r>
          </w:p>
        </w:tc>
        <w:tc>
          <w:tcPr>
            <w:tcW w:w="4550" w:type="pct"/>
            <w:shd w:val="clear" w:color="auto" w:fill="FFFFFF"/>
            <w:hideMark/>
          </w:tcPr>
          <w:p w14:paraId="6F91C254" w14:textId="77777777" w:rsidR="008D2491" w:rsidRPr="008D2491" w:rsidRDefault="008D2491" w:rsidP="008D2491">
            <w:pPr>
              <w:pStyle w:val="TableContent"/>
              <w:rPr>
                <w:lang w:eastAsia="zh-CN"/>
              </w:rPr>
            </w:pPr>
            <w:r w:rsidRPr="008D2491">
              <w:rPr>
                <w:lang w:eastAsia="zh-CN"/>
              </w:rPr>
              <w:t>heterozygosity</w:t>
            </w:r>
          </w:p>
        </w:tc>
      </w:tr>
      <w:tr w:rsidR="008D2491" w:rsidRPr="008D2491" w14:paraId="71D7A21B" w14:textId="77777777" w:rsidTr="008D2491">
        <w:trPr>
          <w:trHeight w:val="280"/>
          <w:tblCellSpacing w:w="15" w:type="dxa"/>
        </w:trPr>
        <w:tc>
          <w:tcPr>
            <w:tcW w:w="450" w:type="pct"/>
            <w:shd w:val="clear" w:color="auto" w:fill="FFFFFF"/>
            <w:hideMark/>
          </w:tcPr>
          <w:p w14:paraId="30AE73D6" w14:textId="77777777" w:rsidR="008D2491" w:rsidRPr="008D2491" w:rsidRDefault="008D2491" w:rsidP="008D2491">
            <w:pPr>
              <w:pStyle w:val="TableContent"/>
              <w:rPr>
                <w:lang w:eastAsia="zh-CN"/>
              </w:rPr>
            </w:pPr>
            <w:r w:rsidRPr="008D2491">
              <w:rPr>
                <w:lang w:eastAsia="zh-CN"/>
              </w:rPr>
              <w:t>N</w:t>
            </w:r>
          </w:p>
        </w:tc>
        <w:tc>
          <w:tcPr>
            <w:tcW w:w="4550" w:type="pct"/>
            <w:shd w:val="clear" w:color="auto" w:fill="FFFFFF"/>
            <w:hideMark/>
          </w:tcPr>
          <w:p w14:paraId="2F9E956F" w14:textId="77777777" w:rsidR="008D2491" w:rsidRPr="008D2491" w:rsidRDefault="008D2491" w:rsidP="008D2491">
            <w:pPr>
              <w:pStyle w:val="TableContent"/>
              <w:rPr>
                <w:lang w:eastAsia="zh-CN"/>
              </w:rPr>
            </w:pPr>
            <w:r w:rsidRPr="008D2491">
              <w:rPr>
                <w:lang w:eastAsia="zh-CN"/>
              </w:rPr>
              <w:t>population size during bottleneck</w:t>
            </w:r>
          </w:p>
        </w:tc>
      </w:tr>
      <w:tr w:rsidR="008D2491" w:rsidRPr="008D2491" w14:paraId="5D76CAE0" w14:textId="77777777" w:rsidTr="008D2491">
        <w:trPr>
          <w:trHeight w:val="280"/>
          <w:tblCellSpacing w:w="15" w:type="dxa"/>
        </w:trPr>
        <w:tc>
          <w:tcPr>
            <w:tcW w:w="450" w:type="pct"/>
            <w:shd w:val="clear" w:color="auto" w:fill="FFFFFF"/>
            <w:hideMark/>
          </w:tcPr>
          <w:p w14:paraId="7872DD64" w14:textId="77777777" w:rsidR="008D2491" w:rsidRPr="008D2491" w:rsidRDefault="008D2491" w:rsidP="008D2491">
            <w:pPr>
              <w:pStyle w:val="TableContent"/>
              <w:rPr>
                <w:lang w:eastAsia="zh-CN"/>
              </w:rPr>
            </w:pPr>
            <w:r w:rsidRPr="008D2491">
              <w:rPr>
                <w:lang w:eastAsia="zh-CN"/>
              </w:rPr>
              <w:t>n</w:t>
            </w:r>
          </w:p>
        </w:tc>
        <w:tc>
          <w:tcPr>
            <w:tcW w:w="4550" w:type="pct"/>
            <w:shd w:val="clear" w:color="auto" w:fill="FFFFFF"/>
            <w:hideMark/>
          </w:tcPr>
          <w:p w14:paraId="69A441A2" w14:textId="77777777" w:rsidR="008D2491" w:rsidRPr="008D2491" w:rsidRDefault="008D2491" w:rsidP="008D2491">
            <w:pPr>
              <w:pStyle w:val="TableContent"/>
              <w:rPr>
                <w:lang w:eastAsia="zh-CN"/>
              </w:rPr>
            </w:pPr>
            <w:r w:rsidRPr="008D2491">
              <w:rPr>
                <w:lang w:eastAsia="zh-CN"/>
              </w:rPr>
              <w:t>original number of alleles</w:t>
            </w:r>
          </w:p>
        </w:tc>
      </w:tr>
      <w:tr w:rsidR="008D2491" w:rsidRPr="008D2491" w14:paraId="570B5BBE" w14:textId="77777777" w:rsidTr="008D2491">
        <w:trPr>
          <w:trHeight w:val="280"/>
          <w:tblCellSpacing w:w="15" w:type="dxa"/>
        </w:trPr>
        <w:tc>
          <w:tcPr>
            <w:tcW w:w="450" w:type="pct"/>
            <w:shd w:val="clear" w:color="auto" w:fill="FFFFFF"/>
            <w:hideMark/>
          </w:tcPr>
          <w:p w14:paraId="3151EA36" w14:textId="77777777" w:rsidR="008D2491" w:rsidRPr="008D2491" w:rsidRDefault="008D2491" w:rsidP="008D2491">
            <w:pPr>
              <w:pStyle w:val="TableContent"/>
              <w:rPr>
                <w:lang w:eastAsia="zh-CN"/>
              </w:rPr>
            </w:pPr>
            <w:r w:rsidRPr="008D2491">
              <w:rPr>
                <w:lang w:eastAsia="zh-CN"/>
              </w:rPr>
              <w:t>n'</w:t>
            </w:r>
          </w:p>
        </w:tc>
        <w:tc>
          <w:tcPr>
            <w:tcW w:w="4550" w:type="pct"/>
            <w:shd w:val="clear" w:color="auto" w:fill="FFFFFF"/>
            <w:hideMark/>
          </w:tcPr>
          <w:p w14:paraId="2E92F69B" w14:textId="77777777" w:rsidR="008D2491" w:rsidRPr="008D2491" w:rsidRDefault="008D2491" w:rsidP="008D2491">
            <w:pPr>
              <w:pStyle w:val="TableContent"/>
              <w:rPr>
                <w:lang w:eastAsia="zh-CN"/>
              </w:rPr>
            </w:pPr>
            <w:r w:rsidRPr="008D2491">
              <w:rPr>
                <w:lang w:eastAsia="zh-CN"/>
              </w:rPr>
              <w:t>number of alleles remaining after bottleneck</w:t>
            </w:r>
          </w:p>
        </w:tc>
      </w:tr>
      <w:tr w:rsidR="008D2491" w:rsidRPr="008D2491" w14:paraId="7DC479B6" w14:textId="77777777" w:rsidTr="008D2491">
        <w:trPr>
          <w:trHeight w:val="280"/>
          <w:tblCellSpacing w:w="15" w:type="dxa"/>
        </w:trPr>
        <w:tc>
          <w:tcPr>
            <w:tcW w:w="450" w:type="pct"/>
            <w:shd w:val="clear" w:color="auto" w:fill="FFFFFF"/>
            <w:hideMark/>
          </w:tcPr>
          <w:p w14:paraId="69CB7425" w14:textId="77777777" w:rsidR="008D2491" w:rsidRPr="008D2491" w:rsidRDefault="008D2491" w:rsidP="008D2491">
            <w:pPr>
              <w:pStyle w:val="TableContent"/>
              <w:rPr>
                <w:lang w:eastAsia="zh-CN"/>
              </w:rPr>
            </w:pPr>
            <w:proofErr w:type="spellStart"/>
            <w:r w:rsidRPr="008D2491">
              <w:rPr>
                <w:lang w:eastAsia="zh-CN"/>
              </w:rPr>
              <w:t>p</w:t>
            </w:r>
            <w:r w:rsidRPr="008D2491">
              <w:rPr>
                <w:vertAlign w:val="subscript"/>
                <w:lang w:eastAsia="zh-CN"/>
              </w:rPr>
              <w:t>j</w:t>
            </w:r>
            <w:proofErr w:type="spellEnd"/>
          </w:p>
        </w:tc>
        <w:tc>
          <w:tcPr>
            <w:tcW w:w="4550" w:type="pct"/>
            <w:shd w:val="clear" w:color="auto" w:fill="FFFFFF"/>
            <w:hideMark/>
          </w:tcPr>
          <w:p w14:paraId="3D338D67" w14:textId="77777777" w:rsidR="008D2491" w:rsidRPr="008D2491" w:rsidRDefault="008D2491" w:rsidP="008D2491">
            <w:pPr>
              <w:pStyle w:val="TableContent"/>
              <w:rPr>
                <w:lang w:eastAsia="zh-CN"/>
              </w:rPr>
            </w:pPr>
            <w:r w:rsidRPr="008D2491">
              <w:rPr>
                <w:lang w:eastAsia="zh-CN"/>
              </w:rPr>
              <w:t>frequency of the </w:t>
            </w:r>
            <w:proofErr w:type="spellStart"/>
            <w:r w:rsidRPr="008D2491">
              <w:rPr>
                <w:i/>
                <w:iCs/>
                <w:lang w:eastAsia="zh-CN"/>
              </w:rPr>
              <w:t>j</w:t>
            </w:r>
            <w:r w:rsidRPr="008D2491">
              <w:rPr>
                <w:lang w:eastAsia="zh-CN"/>
              </w:rPr>
              <w:t>th</w:t>
            </w:r>
            <w:proofErr w:type="spellEnd"/>
            <w:r w:rsidRPr="008D2491">
              <w:rPr>
                <w:lang w:eastAsia="zh-CN"/>
              </w:rPr>
              <w:t xml:space="preserve"> allele</w:t>
            </w:r>
          </w:p>
        </w:tc>
      </w:tr>
      <w:tr w:rsidR="008D2491" w:rsidRPr="008D2491" w14:paraId="4D319FD9" w14:textId="77777777" w:rsidTr="008D2491">
        <w:trPr>
          <w:trHeight w:val="280"/>
          <w:tblCellSpacing w:w="15" w:type="dxa"/>
        </w:trPr>
        <w:tc>
          <w:tcPr>
            <w:tcW w:w="450" w:type="pct"/>
            <w:shd w:val="clear" w:color="auto" w:fill="FFFFFF"/>
            <w:hideMark/>
          </w:tcPr>
          <w:p w14:paraId="757E3E63" w14:textId="77777777" w:rsidR="008D2491" w:rsidRPr="008D2491" w:rsidRDefault="008D2491" w:rsidP="008D2491">
            <w:pPr>
              <w:pStyle w:val="TableContent"/>
              <w:rPr>
                <w:lang w:eastAsia="zh-CN"/>
              </w:rPr>
            </w:pPr>
            <w:r w:rsidRPr="008D2491">
              <w:rPr>
                <w:lang w:eastAsia="zh-CN"/>
              </w:rPr>
              <w:t>A</w:t>
            </w:r>
          </w:p>
        </w:tc>
        <w:tc>
          <w:tcPr>
            <w:tcW w:w="4550" w:type="pct"/>
            <w:shd w:val="clear" w:color="auto" w:fill="FFFFFF"/>
            <w:hideMark/>
          </w:tcPr>
          <w:p w14:paraId="072C652A" w14:textId="77777777" w:rsidR="008D2491" w:rsidRPr="008D2491" w:rsidRDefault="008D2491" w:rsidP="008D2491">
            <w:pPr>
              <w:pStyle w:val="TableContent"/>
              <w:rPr>
                <w:lang w:eastAsia="zh-CN"/>
              </w:rPr>
            </w:pPr>
            <w:r w:rsidRPr="008D2491">
              <w:rPr>
                <w:lang w:eastAsia="zh-CN"/>
              </w:rPr>
              <w:t>allelic diversity</w:t>
            </w:r>
          </w:p>
        </w:tc>
      </w:tr>
      <w:tr w:rsidR="008D2491" w:rsidRPr="008D2491" w14:paraId="16321F4A" w14:textId="77777777" w:rsidTr="008D2491">
        <w:trPr>
          <w:trHeight w:val="280"/>
          <w:tblCellSpacing w:w="15" w:type="dxa"/>
        </w:trPr>
        <w:tc>
          <w:tcPr>
            <w:tcW w:w="450" w:type="pct"/>
            <w:shd w:val="clear" w:color="auto" w:fill="FFFFFF"/>
            <w:hideMark/>
          </w:tcPr>
          <w:p w14:paraId="03CE2C64" w14:textId="77777777" w:rsidR="008D2491" w:rsidRPr="008D2491" w:rsidRDefault="008D2491" w:rsidP="008D2491">
            <w:pPr>
              <w:pStyle w:val="TableContent"/>
              <w:rPr>
                <w:lang w:eastAsia="zh-CN"/>
              </w:rPr>
            </w:pPr>
            <w:r w:rsidRPr="008D2491">
              <w:rPr>
                <w:lang w:eastAsia="zh-CN"/>
              </w:rPr>
              <w:t>t</w:t>
            </w:r>
          </w:p>
        </w:tc>
        <w:tc>
          <w:tcPr>
            <w:tcW w:w="4550" w:type="pct"/>
            <w:shd w:val="clear" w:color="auto" w:fill="FFFFFF"/>
            <w:hideMark/>
          </w:tcPr>
          <w:p w14:paraId="1789A2AA" w14:textId="77777777" w:rsidR="008D2491" w:rsidRPr="008D2491" w:rsidRDefault="008D2491" w:rsidP="008D2491">
            <w:pPr>
              <w:pStyle w:val="TableContent"/>
              <w:rPr>
                <w:lang w:eastAsia="zh-CN"/>
              </w:rPr>
            </w:pPr>
            <w:r w:rsidRPr="008D2491">
              <w:rPr>
                <w:lang w:eastAsia="zh-CN"/>
              </w:rPr>
              <w:t>number of generations</w:t>
            </w:r>
          </w:p>
        </w:tc>
      </w:tr>
    </w:tbl>
    <w:p w14:paraId="1BE710F5" w14:textId="77777777" w:rsidR="008E6A8B" w:rsidRPr="008E6A8B" w:rsidRDefault="008E6A8B" w:rsidP="008E6A8B"/>
    <w:p w14:paraId="0A824DE4" w14:textId="77777777" w:rsidR="00283F45" w:rsidRDefault="00283F45" w:rsidP="00283F45">
      <w:pPr>
        <w:pStyle w:val="Heading1"/>
      </w:pPr>
      <w:r>
        <w:t>Methods</w:t>
      </w:r>
    </w:p>
    <w:p w14:paraId="43F2D0DC" w14:textId="77777777" w:rsidR="008C267B" w:rsidRDefault="008C267B" w:rsidP="008C267B">
      <w:r>
        <w:lastRenderedPageBreak/>
        <w:t xml:space="preserve">The two measures of genetic variation examined by </w:t>
      </w:r>
      <w:proofErr w:type="spellStart"/>
      <w:r>
        <w:t>Allendorf</w:t>
      </w:r>
      <w:proofErr w:type="spellEnd"/>
      <w:r>
        <w:t xml:space="preserve"> (1986) were heterozygosity (proportion of individuals heterozygous at a locus) and allelic diversity (the actual number of alleles present at a locus). The expected heterozygosity following a bottleneck lasting a single generation is expressed as a proportion of the original heterozygosity: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267B" w14:paraId="63C76EAF" w14:textId="77777777" w:rsidTr="00DC6ECD">
        <w:tc>
          <w:tcPr>
            <w:tcW w:w="4675" w:type="dxa"/>
            <w:vAlign w:val="center"/>
          </w:tcPr>
          <w:p w14:paraId="55436821" w14:textId="77777777" w:rsidR="008C267B" w:rsidRDefault="008C267B" w:rsidP="00DC6ECD">
            <w:pPr>
              <w:rPr>
                <w:lang w:eastAsia="zh-CN"/>
              </w:rPr>
            </w:pPr>
            <m:oMathPara>
              <m:oMath>
                <m:r>
                  <w:rPr>
                    <w:rFonts w:ascii="Cambria Math" w:hAnsi="Cambria Math"/>
                    <w:lang w:eastAsia="zh-CN"/>
                  </w:rPr>
                  <m:t>1-</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2N</m:t>
                    </m:r>
                  </m:den>
                </m:f>
              </m:oMath>
            </m:oMathPara>
          </w:p>
        </w:tc>
        <w:tc>
          <w:tcPr>
            <w:tcW w:w="4675" w:type="dxa"/>
            <w:vAlign w:val="center"/>
          </w:tcPr>
          <w:p w14:paraId="15FE9C86" w14:textId="77777777" w:rsidR="008C267B" w:rsidRDefault="008C267B" w:rsidP="00DC6ECD">
            <w:pPr>
              <w:rPr>
                <w:lang w:eastAsia="zh-CN"/>
              </w:rPr>
            </w:pPr>
            <w:r>
              <w:rPr>
                <w:lang w:eastAsia="zh-CN"/>
              </w:rPr>
              <w:t>LaTeX Code: \[ 1 - \frac{1}{</w:t>
            </w:r>
            <w:r w:rsidR="00DC6ECD">
              <w:rPr>
                <w:lang w:eastAsia="zh-CN"/>
              </w:rPr>
              <w:t>2N</w:t>
            </w:r>
            <w:r>
              <w:rPr>
                <w:lang w:eastAsia="zh-CN"/>
              </w:rPr>
              <w:t>} \]</w:t>
            </w:r>
          </w:p>
        </w:tc>
      </w:tr>
    </w:tbl>
    <w:p w14:paraId="74EE1DA4" w14:textId="77777777" w:rsidR="008C267B" w:rsidRDefault="008C267B" w:rsidP="008C267B">
      <w:r>
        <w:t>As</w:t>
      </w:r>
      <w:r w:rsidR="003237A0">
        <w:t xml:space="preserve"> </w:t>
      </w:r>
      <w:r>
        <w:rPr>
          <w:i/>
          <w:iCs/>
        </w:rPr>
        <w:t>N</w:t>
      </w:r>
      <w:r w:rsidR="003237A0">
        <w:t xml:space="preserve"> </w:t>
      </w:r>
      <w:r>
        <w:t>(the population size during the bottleneck) increases the second term (1/[2</w:t>
      </w:r>
      <w:r>
        <w:rPr>
          <w:i/>
          <w:iCs/>
        </w:rPr>
        <w:t>N</w:t>
      </w:r>
      <w:r>
        <w:t>]) decreases, and the proportion of the original heterozygosity remaining increases. In general, a bottleneck lasting one generation has a fairly small effect on heterozygosity; even if the population is reduced to 2 individuals the expected proportion of heterozygosity is 0.75 (1 - 1/[2*2] = 0.75). Calculating the expected number of alleles present at a locus is more complicated, because it depends on the number and frequencies of alleles present before the bottleneck. For a diploid locus with</w:t>
      </w:r>
      <w:r w:rsidR="00DE0038">
        <w:t xml:space="preserve"> </w:t>
      </w:r>
      <w:r>
        <w:rPr>
          <w:i/>
          <w:iCs/>
        </w:rPr>
        <w:t>n</w:t>
      </w:r>
      <w:r w:rsidR="00DE0038">
        <w:t xml:space="preserve"> </w:t>
      </w:r>
      <w:r>
        <w:t>alleles, the frequency of the</w:t>
      </w:r>
      <w:r w:rsidR="00476A9A">
        <w:t xml:space="preserve"> </w:t>
      </w:r>
      <w:proofErr w:type="spellStart"/>
      <w:r>
        <w:rPr>
          <w:i/>
          <w:iCs/>
        </w:rPr>
        <w:t>j</w:t>
      </w:r>
      <w:r>
        <w:t>th</w:t>
      </w:r>
      <w:proofErr w:type="spellEnd"/>
      <w:r>
        <w:t xml:space="preserve"> allele is expressed as</w:t>
      </w:r>
      <w:r w:rsidR="004C5039">
        <w:t xml:space="preserve"> </w:t>
      </w:r>
      <w:proofErr w:type="spellStart"/>
      <w:r>
        <w:rPr>
          <w:i/>
          <w:iCs/>
        </w:rPr>
        <w:t>p</w:t>
      </w:r>
      <w:r>
        <w:rPr>
          <w:i/>
          <w:iCs/>
          <w:vertAlign w:val="subscript"/>
        </w:rPr>
        <w:t>j</w:t>
      </w:r>
      <w:proofErr w:type="spellEnd"/>
      <w:r w:rsidR="004C5039">
        <w:t xml:space="preserve"> </w:t>
      </w:r>
      <w:r>
        <w:t>(for our purposes we will assume that the alleles are equally frequent; if</w:t>
      </w:r>
      <w:r w:rsidR="00B71510">
        <w:t xml:space="preserve"> </w:t>
      </w:r>
      <w:r>
        <w:rPr>
          <w:i/>
          <w:iCs/>
        </w:rPr>
        <w:t>n</w:t>
      </w:r>
      <w:r w:rsidR="00B71510">
        <w:t xml:space="preserve"> </w:t>
      </w:r>
      <w:r>
        <w:t>= 4 then the frequency of each allele will be 0.25). The number of alleles we would expect following a bottleneck (</w:t>
      </w:r>
      <w:r>
        <w:rPr>
          <w:i/>
          <w:iCs/>
        </w:rPr>
        <w:t>n'</w:t>
      </w:r>
      <w:r>
        <w:t>) is calculated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3BF9" w14:paraId="4B08D17E" w14:textId="77777777" w:rsidTr="00E12B89">
        <w:tc>
          <w:tcPr>
            <w:tcW w:w="4675" w:type="dxa"/>
            <w:vAlign w:val="center"/>
          </w:tcPr>
          <w:p w14:paraId="6DF41642" w14:textId="77777777" w:rsidR="00153BF9" w:rsidRDefault="00153BF9" w:rsidP="00E12B89">
            <m:oMathPara>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e>
                </m:d>
                <m:r>
                  <w:rPr>
                    <w:rFonts w:ascii="Cambria Math" w:hAnsi="Cambria Math"/>
                  </w:rPr>
                  <m:t>=n-</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e>
                        </m:d>
                      </m:e>
                      <m:sup>
                        <m:r>
                          <w:rPr>
                            <w:rFonts w:ascii="Cambria Math" w:hAnsi="Cambria Math"/>
                          </w:rPr>
                          <m:t>2N</m:t>
                        </m:r>
                      </m:sup>
                    </m:sSup>
                  </m:e>
                </m:nary>
              </m:oMath>
            </m:oMathPara>
          </w:p>
        </w:tc>
        <w:tc>
          <w:tcPr>
            <w:tcW w:w="4675" w:type="dxa"/>
            <w:vAlign w:val="center"/>
          </w:tcPr>
          <w:p w14:paraId="4806E194" w14:textId="77777777" w:rsidR="00153BF9" w:rsidRDefault="00F5219E" w:rsidP="00E12B89">
            <w:r>
              <w:t>LaTeX Code: \[ E(n’)</w:t>
            </w:r>
            <w:r w:rsidR="00514849">
              <w:t xml:space="preserve"> = n = \sum_{</w:t>
            </w:r>
            <w:proofErr w:type="spellStart"/>
            <w:r w:rsidR="00514849">
              <w:t>i</w:t>
            </w:r>
            <w:proofErr w:type="spellEnd"/>
            <w:r w:rsidR="00514849">
              <w:t xml:space="preserve">=1}^{n} (1 - </w:t>
            </w:r>
            <w:proofErr w:type="spellStart"/>
            <w:r w:rsidR="00514849">
              <w:t>p_i</w:t>
            </w:r>
            <w:proofErr w:type="spellEnd"/>
            <w:r w:rsidR="00514849">
              <w:t>)^{2N}</w:t>
            </w:r>
            <w:r>
              <w:t xml:space="preserve"> \]</w:t>
            </w:r>
          </w:p>
        </w:tc>
      </w:tr>
    </w:tbl>
    <w:p w14:paraId="2C59A9BD" w14:textId="77777777" w:rsidR="008C267B" w:rsidRDefault="008C267B" w:rsidP="008C267B">
      <w:r>
        <w:t>For each of the</w:t>
      </w:r>
      <w:r w:rsidR="003E1B83">
        <w:t xml:space="preserve"> </w:t>
      </w:r>
      <w:r>
        <w:rPr>
          <w:i/>
          <w:iCs/>
        </w:rPr>
        <w:t>n</w:t>
      </w:r>
      <w:r w:rsidR="003E1B83">
        <w:t xml:space="preserve"> </w:t>
      </w:r>
      <w:r>
        <w:t>alleles, we subtract the frequency of that allele from 1 and raise the difference to the bottleneck population size (</w:t>
      </w:r>
      <w:r>
        <w:rPr>
          <w:i/>
          <w:iCs/>
        </w:rPr>
        <w:t>N</w:t>
      </w:r>
      <w:r>
        <w:t>) multiplied by 2. These values are summed for all</w:t>
      </w:r>
      <w:r w:rsidR="003E1B83">
        <w:t xml:space="preserve"> </w:t>
      </w:r>
      <w:r>
        <w:rPr>
          <w:i/>
          <w:iCs/>
        </w:rPr>
        <w:t>n</w:t>
      </w:r>
      <w:r w:rsidR="003E1B83">
        <w:t xml:space="preserve"> </w:t>
      </w:r>
      <w:r>
        <w:t>alleles, and the sum is subtracted from the original number of alleles (</w:t>
      </w:r>
      <w:r>
        <w:rPr>
          <w:i/>
          <w:iCs/>
        </w:rPr>
        <w:t>n</w:t>
      </w:r>
      <w:r>
        <w:t>). We can then use this number (</w:t>
      </w:r>
      <w:r>
        <w:rPr>
          <w:i/>
          <w:iCs/>
        </w:rPr>
        <w:t>n'</w:t>
      </w:r>
      <w:r>
        <w:t>) to calculate the allelic diversity (</w:t>
      </w:r>
      <w:r>
        <w:rPr>
          <w:i/>
          <w:iCs/>
        </w:rPr>
        <w:t>A</w:t>
      </w:r>
      <w:r>
        <w:t>) after a bottleneck.</w:t>
      </w:r>
      <w:r w:rsidR="003E1B83">
        <w:t xml:space="preserve"> </w:t>
      </w:r>
      <w:r>
        <w:rPr>
          <w:i/>
          <w:iCs/>
        </w:rPr>
        <w:t>A</w:t>
      </w:r>
      <w:r w:rsidR="003E1B83">
        <w:t xml:space="preserve"> </w:t>
      </w:r>
      <w:r>
        <w:t>is the ratio between [the remaining number of alleles minus one] and [the original number of alleles minus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20F6" w14:paraId="4687E1B5" w14:textId="77777777" w:rsidTr="002C56C2">
        <w:tc>
          <w:tcPr>
            <w:tcW w:w="4675" w:type="dxa"/>
            <w:vAlign w:val="center"/>
          </w:tcPr>
          <w:p w14:paraId="06D17EC5" w14:textId="77777777" w:rsidR="00BF20F6" w:rsidRDefault="00BF20F6" w:rsidP="002C56C2">
            <m:oMathPara>
              <m:oMath>
                <m:r>
                  <w:rPr>
                    <w:rFonts w:ascii="Cambria Math" w:hAnsi="Cambria Math"/>
                  </w:rPr>
                  <m:t>A=</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-1</m:t>
                        </m:r>
                      </m:e>
                    </m:d>
                  </m:num>
                  <m:den>
                    <m:d>
                      <m:dPr>
                        <m:ctrlPr>
                          <w:rPr>
                            <w:rFonts w:ascii="Cambria Math" w:hAnsi="Cambria Math"/>
                            <w:i/>
                          </w:rPr>
                        </m:ctrlPr>
                      </m:dPr>
                      <m:e>
                        <m:r>
                          <w:rPr>
                            <w:rFonts w:ascii="Cambria Math" w:hAnsi="Cambria Math"/>
                          </w:rPr>
                          <m:t>n-1</m:t>
                        </m:r>
                      </m:e>
                    </m:d>
                  </m:den>
                </m:f>
              </m:oMath>
            </m:oMathPara>
          </w:p>
        </w:tc>
        <w:tc>
          <w:tcPr>
            <w:tcW w:w="4675" w:type="dxa"/>
            <w:vAlign w:val="center"/>
          </w:tcPr>
          <w:p w14:paraId="2DF90D81" w14:textId="77777777" w:rsidR="00BF20F6" w:rsidRDefault="00BF20F6" w:rsidP="002C56C2">
            <w:r>
              <w:t>LaTeX Code: \[ A = \frac{(n’ - 1)}{(n - 1)} \]</w:t>
            </w:r>
          </w:p>
        </w:tc>
      </w:tr>
    </w:tbl>
    <w:p w14:paraId="65EAC068" w14:textId="77777777" w:rsidR="008C267B" w:rsidRDefault="008C267B" w:rsidP="008C267B">
      <w:r>
        <w:t>When all alleles are retained,</w:t>
      </w:r>
      <w:r w:rsidR="002C56C2">
        <w:t xml:space="preserve"> </w:t>
      </w:r>
      <w:r>
        <w:rPr>
          <w:i/>
          <w:iCs/>
        </w:rPr>
        <w:t>A</w:t>
      </w:r>
      <w:r w:rsidR="002C56C2">
        <w:t xml:space="preserve"> </w:t>
      </w:r>
      <w:r>
        <w:t>= 1. If only a single allele remains,</w:t>
      </w:r>
      <w:r w:rsidR="001B1A22">
        <w:t xml:space="preserve"> </w:t>
      </w:r>
      <w:r>
        <w:rPr>
          <w:i/>
          <w:iCs/>
        </w:rPr>
        <w:t>A</w:t>
      </w:r>
      <w:r w:rsidR="001B1A22">
        <w:t xml:space="preserve"> </w:t>
      </w:r>
      <w:r>
        <w:t xml:space="preserve">= 0. The graph below (redrawn from </w:t>
      </w:r>
      <w:proofErr w:type="spellStart"/>
      <w:r>
        <w:t>Allendorf</w:t>
      </w:r>
      <w:proofErr w:type="spellEnd"/>
      <w:r>
        <w:t>, 1986) illustrates the relationship between allelic diversity remaining after a single-generation bottleneck and the original number of alleles for different population sizes. The black dots indicate the expected proportion of heterozygosity remaining for each population size.</w:t>
      </w:r>
    </w:p>
    <w:p w14:paraId="79E445F2" w14:textId="77777777" w:rsidR="008C267B" w:rsidRDefault="008C267B" w:rsidP="00F32E82">
      <w:pPr>
        <w:jc w:val="center"/>
      </w:pPr>
      <w:r>
        <w:lastRenderedPageBreak/>
        <w:fldChar w:fldCharType="begin"/>
      </w:r>
      <w:r>
        <w:instrText xml:space="preserve"> INCLUDEPICTURE "http://www.tiem.utk.edu/~gross/bioed/bealsmodules/bottleneck.gph1.gif" \* MERGEFORMATINET </w:instrText>
      </w:r>
      <w:r>
        <w:fldChar w:fldCharType="separate"/>
      </w:r>
      <w:r>
        <w:rPr>
          <w:noProof/>
        </w:rPr>
        <w:drawing>
          <wp:inline distT="0" distB="0" distL="0" distR="0" wp14:anchorId="06DB8CD8" wp14:editId="2FB6F178">
            <wp:extent cx="3657600" cy="2585733"/>
            <wp:effectExtent l="0" t="0" r="0" b="0"/>
            <wp:docPr id="6" name="Picture 6" descr="http://www.tiem.utk.edu/~gross/bioed/bealsmodules/bottleneck.g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bealsmodules/bottleneck.gp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585733"/>
                    </a:xfrm>
                    <a:prstGeom prst="rect">
                      <a:avLst/>
                    </a:prstGeom>
                    <a:noFill/>
                    <a:ln>
                      <a:noFill/>
                    </a:ln>
                  </pic:spPr>
                </pic:pic>
              </a:graphicData>
            </a:graphic>
          </wp:inline>
        </w:drawing>
      </w:r>
      <w:r>
        <w:fldChar w:fldCharType="end"/>
      </w:r>
    </w:p>
    <w:p w14:paraId="455C51E5" w14:textId="77777777" w:rsidR="008C267B" w:rsidRDefault="008C267B" w:rsidP="008C267B">
      <w:r>
        <w:t>Note that although the proportion of heterozygosity retained for a bottleneck of</w:t>
      </w:r>
      <w:r w:rsidR="00F32E82">
        <w:t xml:space="preserve"> </w:t>
      </w:r>
      <w:r>
        <w:rPr>
          <w:i/>
          <w:iCs/>
        </w:rPr>
        <w:t>N</w:t>
      </w:r>
      <w:r w:rsidR="00F32E82">
        <w:t xml:space="preserve"> </w:t>
      </w:r>
      <w:r>
        <w:t>= 2 is 0.75, the proportion of allelic diversity retained when five or more equally frequent alleles are present before the bottleneck is less than 0.50.</w:t>
      </w:r>
    </w:p>
    <w:p w14:paraId="01BE9723" w14:textId="77777777" w:rsidR="008C267B" w:rsidRDefault="008C267B" w:rsidP="008C267B">
      <w:r>
        <w:t>Another consideration is the duration of the bottleneck. For how many generations is the population size reduced? How does this affect heterozygosity and allelic diversity? We can calculate the expected proportion of heterozygosity retained after a bottleneck with population size</w:t>
      </w:r>
      <w:r w:rsidR="008E1592">
        <w:t xml:space="preserve"> </w:t>
      </w:r>
      <w:r>
        <w:rPr>
          <w:i/>
          <w:iCs/>
        </w:rPr>
        <w:t>N</w:t>
      </w:r>
      <w:r w:rsidR="008E1592">
        <w:t xml:space="preserve"> </w:t>
      </w:r>
      <w:r>
        <w:t>lasting for</w:t>
      </w:r>
      <w:r w:rsidR="0037697C">
        <w:t xml:space="preserve"> </w:t>
      </w:r>
      <w:r>
        <w:rPr>
          <w:i/>
          <w:iCs/>
        </w:rPr>
        <w:t>t</w:t>
      </w:r>
      <w:r w:rsidR="0037697C">
        <w:t xml:space="preserve"> </w:t>
      </w:r>
      <w:r>
        <w:t>generations: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0F34" w14:paraId="4CB0C851" w14:textId="77777777" w:rsidTr="00CB5FFC">
        <w:tc>
          <w:tcPr>
            <w:tcW w:w="4675" w:type="dxa"/>
            <w:vAlign w:val="center"/>
          </w:tcPr>
          <w:p w14:paraId="07B8BE22" w14:textId="77777777" w:rsidR="00150F34" w:rsidRDefault="001C36D8" w:rsidP="00CB5FFC">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2N</m:t>
                            </m:r>
                          </m:den>
                        </m:f>
                      </m:e>
                    </m:d>
                  </m:e>
                  <m:sup>
                    <m:r>
                      <w:rPr>
                        <w:rFonts w:ascii="Cambria Math" w:hAnsi="Cambria Math"/>
                      </w:rPr>
                      <m:t>t</m:t>
                    </m:r>
                  </m:sup>
                </m:sSup>
              </m:oMath>
            </m:oMathPara>
          </w:p>
        </w:tc>
        <w:tc>
          <w:tcPr>
            <w:tcW w:w="4675" w:type="dxa"/>
            <w:vAlign w:val="center"/>
          </w:tcPr>
          <w:p w14:paraId="5562DC78" w14:textId="77777777" w:rsidR="00150F34" w:rsidRDefault="0003287A" w:rsidP="00CB5FFC">
            <w:r>
              <w:t>LaTeX Code: \[ [1 - \frac{1}{2N}]’ \]</w:t>
            </w:r>
          </w:p>
        </w:tc>
      </w:tr>
    </w:tbl>
    <w:p w14:paraId="3501A916" w14:textId="77777777" w:rsidR="008C267B" w:rsidRDefault="008C267B" w:rsidP="008C267B">
      <w:proofErr w:type="spellStart"/>
      <w:r>
        <w:t>Allendorf</w:t>
      </w:r>
      <w:proofErr w:type="spellEnd"/>
      <w:r>
        <w:t xml:space="preserve"> used computer simulations to examine the effect of multiple generations on allelic diversity. For each set of parameter values (</w:t>
      </w:r>
      <w:r>
        <w:rPr>
          <w:i/>
          <w:iCs/>
        </w:rPr>
        <w:t>N</w:t>
      </w:r>
      <w:r>
        <w:t>,</w:t>
      </w:r>
      <w:r w:rsidR="00BA4DFA">
        <w:t xml:space="preserve"> </w:t>
      </w:r>
      <w:r>
        <w:rPr>
          <w:i/>
          <w:iCs/>
        </w:rPr>
        <w:t>n</w:t>
      </w:r>
      <w:r w:rsidR="00BA4DFA">
        <w:t xml:space="preserve"> </w:t>
      </w:r>
      <w:r>
        <w:t>and</w:t>
      </w:r>
      <w:r w:rsidR="00BA4DFA">
        <w:t xml:space="preserve"> </w:t>
      </w:r>
      <w:r>
        <w:rPr>
          <w:i/>
          <w:iCs/>
        </w:rPr>
        <w:t>t</w:t>
      </w:r>
      <w:r>
        <w:t>) the simulation was run 1,000 times, and the means of these simulations are graphed below. Each graph represents a different population size,</w:t>
      </w:r>
      <w:r w:rsidR="00BA4DFA">
        <w:t xml:space="preserve"> </w:t>
      </w:r>
      <w:r>
        <w:rPr>
          <w:i/>
          <w:iCs/>
        </w:rPr>
        <w:t>N</w:t>
      </w:r>
      <w:r>
        <w:t>, with</w:t>
      </w:r>
      <w:r w:rsidR="00BA4DFA">
        <w:t xml:space="preserve"> </w:t>
      </w:r>
      <w:r>
        <w:rPr>
          <w:i/>
          <w:iCs/>
        </w:rPr>
        <w:t>t</w:t>
      </w:r>
      <w:r w:rsidR="00BA4DFA">
        <w:t xml:space="preserve"> </w:t>
      </w:r>
      <w:r>
        <w:t>on the x-axis and</w:t>
      </w:r>
      <w:r w:rsidR="00BA4DFA">
        <w:t xml:space="preserve"> </w:t>
      </w:r>
      <w:r>
        <w:rPr>
          <w:i/>
          <w:iCs/>
        </w:rPr>
        <w:t>A</w:t>
      </w:r>
      <w:r w:rsidR="00BA4DFA">
        <w:t xml:space="preserve"> </w:t>
      </w:r>
      <w:r>
        <w:t>on the y-axis. The different colored lines represent different numbers of alleles present (</w:t>
      </w:r>
      <w:r>
        <w:rPr>
          <w:i/>
          <w:iCs/>
        </w:rPr>
        <w:t>n</w:t>
      </w:r>
      <w:r>
        <w:t>) prior to the bottleneck (</w:t>
      </w:r>
      <w:r>
        <w:rPr>
          <w:i/>
          <w:iCs/>
        </w:rPr>
        <w:t>n</w:t>
      </w:r>
      <w:r w:rsidR="00BA4DFA">
        <w:t xml:space="preserve"> </w:t>
      </w:r>
      <w:r>
        <w:t>= 2, 5, or 10). The dashed line represents the expected loss of heterozygosity (E(</w:t>
      </w:r>
      <w:r>
        <w:rPr>
          <w:i/>
          <w:iCs/>
        </w:rPr>
        <w:t>H</w:t>
      </w:r>
      <w:r>
        <w:t>)) for a population of size</w:t>
      </w:r>
      <w:r w:rsidR="00F75B29">
        <w:t xml:space="preserve"> </w:t>
      </w:r>
      <w:r>
        <w:rPr>
          <w:i/>
          <w:iCs/>
        </w:rPr>
        <w:t>N</w:t>
      </w:r>
      <w:r w:rsidR="00F75B29">
        <w:t xml:space="preserve"> </w:t>
      </w:r>
      <w:r>
        <w:t>over</w:t>
      </w:r>
      <w:r w:rsidR="00F75B29">
        <w:t xml:space="preserve"> </w:t>
      </w:r>
      <w:r>
        <w:rPr>
          <w:i/>
          <w:iCs/>
        </w:rPr>
        <w:t>t</w:t>
      </w:r>
      <w:r w:rsidR="00F75B29">
        <w:t xml:space="preserve"> </w:t>
      </w:r>
      <w:r>
        <w:t>generations.</w:t>
      </w:r>
      <w:r w:rsidR="00F75B29">
        <w:t xml:space="preserve"> </w:t>
      </w:r>
      <w:r>
        <w:t xml:space="preserve">(Graphs redrawn from </w:t>
      </w:r>
      <w:proofErr w:type="spellStart"/>
      <w:r>
        <w:t>Allendorf</w:t>
      </w:r>
      <w:proofErr w:type="spellEnd"/>
      <w:r>
        <w:t xml:space="preserve"> 1986; values for</w:t>
      </w:r>
      <w:r w:rsidR="00F75B29">
        <w:t xml:space="preserve"> </w:t>
      </w:r>
      <w:proofErr w:type="spellStart"/>
      <w:r>
        <w:rPr>
          <w:i/>
          <w:iCs/>
        </w:rPr>
        <w:t>A</w:t>
      </w:r>
      <w:proofErr w:type="spellEnd"/>
      <w:r w:rsidR="00F75B29">
        <w:t xml:space="preserve"> </w:t>
      </w:r>
      <w:r>
        <w:t>estimated from same).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1391" w14:paraId="37929045" w14:textId="77777777" w:rsidTr="00503855">
        <w:trPr>
          <w:jc w:val="center"/>
        </w:trPr>
        <w:tc>
          <w:tcPr>
            <w:tcW w:w="4675" w:type="dxa"/>
            <w:vAlign w:val="center"/>
          </w:tcPr>
          <w:p w14:paraId="1BC08CC8" w14:textId="77777777" w:rsidR="00161391" w:rsidRDefault="00161391" w:rsidP="00503855">
            <w:pPr>
              <w:jc w:val="center"/>
            </w:pPr>
            <w:r>
              <w:lastRenderedPageBreak/>
              <w:fldChar w:fldCharType="begin"/>
            </w:r>
            <w:r>
              <w:instrText xml:space="preserve"> INCLUDEPICTURE "http://www.tiem.utk.edu/~gross/bioed/bealsmodules/bottleneck.gph2.gif" \* MERGEFORMATINET </w:instrText>
            </w:r>
            <w:r>
              <w:fldChar w:fldCharType="separate"/>
            </w:r>
            <w:r>
              <w:rPr>
                <w:noProof/>
              </w:rPr>
              <w:drawing>
                <wp:inline distT="0" distB="0" distL="0" distR="0" wp14:anchorId="185A4883" wp14:editId="5A9C7ABE">
                  <wp:extent cx="2743200" cy="1854201"/>
                  <wp:effectExtent l="0" t="0" r="0" b="0"/>
                  <wp:docPr id="4" name="Picture 4" descr="http://www.tiem.utk.edu/~gross/bioed/bealsmodules/bottleneck.g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bealsmodules/bottleneck.gp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54201"/>
                          </a:xfrm>
                          <a:prstGeom prst="rect">
                            <a:avLst/>
                          </a:prstGeom>
                          <a:noFill/>
                          <a:ln>
                            <a:noFill/>
                          </a:ln>
                        </pic:spPr>
                      </pic:pic>
                    </a:graphicData>
                  </a:graphic>
                </wp:inline>
              </w:drawing>
            </w:r>
            <w:r>
              <w:fldChar w:fldCharType="end"/>
            </w:r>
          </w:p>
        </w:tc>
        <w:tc>
          <w:tcPr>
            <w:tcW w:w="4675" w:type="dxa"/>
            <w:vAlign w:val="center"/>
          </w:tcPr>
          <w:p w14:paraId="44E59BB0" w14:textId="77777777" w:rsidR="00161391" w:rsidRDefault="00161391" w:rsidP="00503855">
            <w:pPr>
              <w:jc w:val="center"/>
            </w:pPr>
            <w:r>
              <w:fldChar w:fldCharType="begin"/>
            </w:r>
            <w:r>
              <w:instrText xml:space="preserve"> INCLUDEPICTURE "http://www.tiem.utk.edu/~gross/bioed/bealsmodules/bottleneck.gph3.gif" \* MERGEFORMATINET </w:instrText>
            </w:r>
            <w:r>
              <w:fldChar w:fldCharType="separate"/>
            </w:r>
            <w:r>
              <w:rPr>
                <w:noProof/>
              </w:rPr>
              <w:drawing>
                <wp:inline distT="0" distB="0" distL="0" distR="0" wp14:anchorId="401DAADB" wp14:editId="4D30799C">
                  <wp:extent cx="2743200" cy="1848424"/>
                  <wp:effectExtent l="0" t="0" r="0" b="6350"/>
                  <wp:docPr id="3" name="Picture 3" descr="http://www.tiem.utk.edu/~gross/bioed/bealsmodules/bottleneck.gp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m.utk.edu/~gross/bioed/bealsmodules/bottleneck.gph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48424"/>
                          </a:xfrm>
                          <a:prstGeom prst="rect">
                            <a:avLst/>
                          </a:prstGeom>
                          <a:noFill/>
                          <a:ln>
                            <a:noFill/>
                          </a:ln>
                        </pic:spPr>
                      </pic:pic>
                    </a:graphicData>
                  </a:graphic>
                </wp:inline>
              </w:drawing>
            </w:r>
            <w:r>
              <w:fldChar w:fldCharType="end"/>
            </w:r>
          </w:p>
        </w:tc>
      </w:tr>
      <w:tr w:rsidR="00161391" w14:paraId="40B9B3C4" w14:textId="77777777" w:rsidTr="00503855">
        <w:trPr>
          <w:jc w:val="center"/>
        </w:trPr>
        <w:tc>
          <w:tcPr>
            <w:tcW w:w="4675" w:type="dxa"/>
            <w:vAlign w:val="center"/>
          </w:tcPr>
          <w:p w14:paraId="0CB57F09" w14:textId="77777777" w:rsidR="00161391" w:rsidRDefault="00161391" w:rsidP="00503855">
            <w:pPr>
              <w:jc w:val="center"/>
            </w:pPr>
            <w:r>
              <w:fldChar w:fldCharType="begin"/>
            </w:r>
            <w:r>
              <w:instrText xml:space="preserve"> INCLUDEPICTURE "http://www.tiem.utk.edu/~gross/bioed/bealsmodules/bottleneck.gph4.gif" \* MERGEFORMATINET </w:instrText>
            </w:r>
            <w:r>
              <w:fldChar w:fldCharType="separate"/>
            </w:r>
            <w:r>
              <w:rPr>
                <w:noProof/>
              </w:rPr>
              <w:drawing>
                <wp:inline distT="0" distB="0" distL="0" distR="0" wp14:anchorId="57B63EA5" wp14:editId="058E2C24">
                  <wp:extent cx="2743200" cy="1848424"/>
                  <wp:effectExtent l="0" t="0" r="0" b="6350"/>
                  <wp:docPr id="2" name="Picture 2" descr="http://www.tiem.utk.edu/~gross/bioed/bealsmodules/bottleneck.gp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em.utk.edu/~gross/bioed/bealsmodules/bottleneck.gph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48424"/>
                          </a:xfrm>
                          <a:prstGeom prst="rect">
                            <a:avLst/>
                          </a:prstGeom>
                          <a:noFill/>
                          <a:ln>
                            <a:noFill/>
                          </a:ln>
                        </pic:spPr>
                      </pic:pic>
                    </a:graphicData>
                  </a:graphic>
                </wp:inline>
              </w:drawing>
            </w:r>
            <w:r>
              <w:fldChar w:fldCharType="end"/>
            </w:r>
          </w:p>
        </w:tc>
        <w:tc>
          <w:tcPr>
            <w:tcW w:w="4675" w:type="dxa"/>
            <w:vAlign w:val="center"/>
          </w:tcPr>
          <w:p w14:paraId="29D73930" w14:textId="77777777" w:rsidR="00161391" w:rsidRDefault="00161391" w:rsidP="00503855">
            <w:pPr>
              <w:jc w:val="center"/>
            </w:pPr>
            <w:r>
              <w:fldChar w:fldCharType="begin"/>
            </w:r>
            <w:r>
              <w:instrText xml:space="preserve"> INCLUDEPICTURE "http://www.tiem.utk.edu/~gross/bioed/bealsmodules/bottleneck.gph5.gif" \* MERGEFORMATINET </w:instrText>
            </w:r>
            <w:r>
              <w:fldChar w:fldCharType="separate"/>
            </w:r>
            <w:r>
              <w:rPr>
                <w:noProof/>
              </w:rPr>
              <w:drawing>
                <wp:inline distT="0" distB="0" distL="0" distR="0" wp14:anchorId="3A401FA5" wp14:editId="490ACA1E">
                  <wp:extent cx="2743200" cy="1848424"/>
                  <wp:effectExtent l="0" t="0" r="0" b="6350"/>
                  <wp:docPr id="1" name="Picture 1" descr="http://www.tiem.utk.edu/~gross/bioed/bealsmodules/bottleneck.gp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em.utk.edu/~gross/bioed/bealsmodules/bottleneck.gph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848424"/>
                          </a:xfrm>
                          <a:prstGeom prst="rect">
                            <a:avLst/>
                          </a:prstGeom>
                          <a:noFill/>
                          <a:ln>
                            <a:noFill/>
                          </a:ln>
                        </pic:spPr>
                      </pic:pic>
                    </a:graphicData>
                  </a:graphic>
                </wp:inline>
              </w:drawing>
            </w:r>
            <w:r>
              <w:fldChar w:fldCharType="end"/>
            </w:r>
          </w:p>
        </w:tc>
      </w:tr>
    </w:tbl>
    <w:p w14:paraId="2F322B10" w14:textId="77777777" w:rsidR="00161391" w:rsidRDefault="00161391" w:rsidP="00C52E32"/>
    <w:p w14:paraId="32AADBE1" w14:textId="77777777" w:rsidR="00283F45" w:rsidRDefault="00283F45" w:rsidP="00283F45">
      <w:pPr>
        <w:pStyle w:val="Heading1"/>
      </w:pPr>
      <w:r w:rsidRPr="00283F45">
        <w:t>Interpretation</w:t>
      </w:r>
    </w:p>
    <w:p w14:paraId="5FC22320" w14:textId="77777777" w:rsidR="008E6A8B" w:rsidRPr="005251F1" w:rsidRDefault="005251F1" w:rsidP="008E6A8B">
      <w:pPr>
        <w:rPr>
          <w:color w:val="auto"/>
          <w:sz w:val="24"/>
          <w:szCs w:val="24"/>
          <w:lang w:eastAsia="zh-CN"/>
        </w:rPr>
      </w:pPr>
      <w:r w:rsidRPr="005251F1">
        <w:rPr>
          <w:shd w:val="clear" w:color="auto" w:fill="FFFFFF"/>
          <w:lang w:eastAsia="zh-CN"/>
        </w:rPr>
        <w:t>As you can see from the above graphs, in most cases (with the exception of two equally frequent alleles originally present) the expected proportions of heterozygosity remaining (</w:t>
      </w:r>
      <w:r w:rsidRPr="005251F1">
        <w:rPr>
          <w:i/>
          <w:iCs/>
          <w:shd w:val="clear" w:color="auto" w:fill="FFFFFF"/>
          <w:lang w:eastAsia="zh-CN"/>
        </w:rPr>
        <w:t>E(H)</w:t>
      </w:r>
      <w:r w:rsidRPr="005251F1">
        <w:rPr>
          <w:shd w:val="clear" w:color="auto" w:fill="FFFFFF"/>
          <w:lang w:eastAsia="zh-CN"/>
        </w:rPr>
        <w:t>) indicate a higher retention of genetic variation than measured by allelic diversity (</w:t>
      </w:r>
      <w:r w:rsidRPr="005251F1">
        <w:rPr>
          <w:i/>
          <w:iCs/>
          <w:shd w:val="clear" w:color="auto" w:fill="FFFFFF"/>
          <w:lang w:eastAsia="zh-CN"/>
        </w:rPr>
        <w:t>A</w:t>
      </w:r>
      <w:r w:rsidRPr="005251F1">
        <w:rPr>
          <w:shd w:val="clear" w:color="auto" w:fill="FFFFFF"/>
          <w:lang w:eastAsia="zh-CN"/>
        </w:rPr>
        <w:t>). It is also apparent that the effects of bottlenecks on genetic variation are greatly increased as population size (</w:t>
      </w:r>
      <w:r w:rsidRPr="005251F1">
        <w:rPr>
          <w:i/>
          <w:iCs/>
          <w:shd w:val="clear" w:color="auto" w:fill="FFFFFF"/>
          <w:lang w:eastAsia="zh-CN"/>
        </w:rPr>
        <w:t>N</w:t>
      </w:r>
      <w:r w:rsidRPr="005251F1">
        <w:rPr>
          <w:shd w:val="clear" w:color="auto" w:fill="FFFFFF"/>
          <w:lang w:eastAsia="zh-CN"/>
        </w:rPr>
        <w:t>) decreases, and that the duration of the bottleneck (</w:t>
      </w:r>
      <w:r w:rsidRPr="005251F1">
        <w:rPr>
          <w:i/>
          <w:iCs/>
          <w:shd w:val="clear" w:color="auto" w:fill="FFFFFF"/>
          <w:lang w:eastAsia="zh-CN"/>
        </w:rPr>
        <w:t>t</w:t>
      </w:r>
      <w:r w:rsidRPr="005251F1">
        <w:rPr>
          <w:shd w:val="clear" w:color="auto" w:fill="FFFFFF"/>
          <w:lang w:eastAsia="zh-CN"/>
        </w:rPr>
        <w:t>) compounds these effects.</w:t>
      </w:r>
    </w:p>
    <w:p w14:paraId="35CA5B0B" w14:textId="77777777" w:rsidR="00283F45" w:rsidRDefault="00283F45" w:rsidP="00283F45">
      <w:pPr>
        <w:pStyle w:val="Heading1"/>
      </w:pPr>
      <w:r>
        <w:t>Conclusion</w:t>
      </w:r>
    </w:p>
    <w:p w14:paraId="2F13755C" w14:textId="77777777" w:rsidR="008E6A8B" w:rsidRPr="005C764D" w:rsidRDefault="005C764D" w:rsidP="008E6A8B">
      <w:pPr>
        <w:rPr>
          <w:color w:val="auto"/>
          <w:sz w:val="24"/>
          <w:szCs w:val="24"/>
          <w:lang w:eastAsia="zh-CN"/>
        </w:rPr>
      </w:pPr>
      <w:r w:rsidRPr="005C764D">
        <w:rPr>
          <w:shd w:val="clear" w:color="auto" w:fill="FFFFFF"/>
          <w:lang w:eastAsia="zh-CN"/>
        </w:rPr>
        <w:t xml:space="preserve">Heterozygosity can be used as a measure of a population's capacity to respond to selection immediately after a bottleneck. Allelic diversity, on the other hand, determines a population's ability to respond to long-term selection over many generations, and ultimately the survival of the population (perhaps even of the species). The models presented here assume random mating and does not take into account effective population size (the number of breeding individuals in a population, which is generally smaller than the total number of individuals; see EFFECTIVE POPULATION SIZE). However, it is clear that different measures will lead to </w:t>
      </w:r>
      <w:r w:rsidRPr="005C764D">
        <w:rPr>
          <w:shd w:val="clear" w:color="auto" w:fill="FFFFFF"/>
          <w:lang w:eastAsia="zh-CN"/>
        </w:rPr>
        <w:lastRenderedPageBreak/>
        <w:t>different predictions about the amount of genetic variation retained in a population following a bottleneck.</w:t>
      </w:r>
    </w:p>
    <w:p w14:paraId="188A2563" w14:textId="77777777" w:rsidR="008E6A8B" w:rsidRDefault="008E6A8B" w:rsidP="00283F45">
      <w:pPr>
        <w:pStyle w:val="Heading1"/>
      </w:pPr>
      <w:r>
        <w:t>Additional Questions</w:t>
      </w:r>
    </w:p>
    <w:p w14:paraId="06C90E13" w14:textId="77777777" w:rsidR="00577A67" w:rsidRDefault="00577A67" w:rsidP="00577A67">
      <w:pPr>
        <w:rPr>
          <w:lang w:eastAsia="zh-CN"/>
        </w:rPr>
      </w:pPr>
      <w:r>
        <w:t>1) Calculate the proportion of original heterozygosity remaining after 1 generation and after 10 generations for populations where</w:t>
      </w:r>
      <w:r w:rsidR="00EF6360">
        <w:t xml:space="preserve"> </w:t>
      </w:r>
      <w:r>
        <w:rPr>
          <w:i/>
          <w:iCs/>
        </w:rPr>
        <w:t>N</w:t>
      </w:r>
      <w:r w:rsidR="00EF6360">
        <w:t xml:space="preserve"> </w:t>
      </w:r>
      <w:r>
        <w:t>= 2, 4, 10, 25, 50, and 100. How do population size and duration of bottlenecks affect loss of heterozygosity?</w:t>
      </w:r>
    </w:p>
    <w:p w14:paraId="6A2DB0D6" w14:textId="77777777" w:rsidR="00577A67" w:rsidRDefault="00577A67" w:rsidP="00577A67">
      <w:r>
        <w:t>2) Using the graphs of</w:t>
      </w:r>
      <w:r w:rsidR="0018041B">
        <w:t xml:space="preserve"> </w:t>
      </w:r>
      <w:r>
        <w:rPr>
          <w:i/>
          <w:iCs/>
        </w:rPr>
        <w:t>A</w:t>
      </w:r>
      <w:r w:rsidR="0018041B">
        <w:t xml:space="preserve"> </w:t>
      </w:r>
      <w:r>
        <w:t>by</w:t>
      </w:r>
      <w:r w:rsidR="0018041B">
        <w:t xml:space="preserve"> </w:t>
      </w:r>
      <w:r>
        <w:rPr>
          <w:i/>
          <w:iCs/>
        </w:rPr>
        <w:t>t</w:t>
      </w:r>
      <w:r>
        <w:t>, describe how the relationship between heterozygosity (dashed line) and allelic diversity (</w:t>
      </w:r>
      <w:r>
        <w:rPr>
          <w:i/>
          <w:iCs/>
        </w:rPr>
        <w:t>A</w:t>
      </w:r>
      <w:r>
        <w:t>) changes over time based on population size (</w:t>
      </w:r>
      <w:r>
        <w:rPr>
          <w:i/>
          <w:iCs/>
        </w:rPr>
        <w:t>N</w:t>
      </w:r>
      <w:r>
        <w:t>) and initial number of alleles (</w:t>
      </w:r>
      <w:r>
        <w:rPr>
          <w:i/>
          <w:iCs/>
        </w:rPr>
        <w:t>n</w:t>
      </w:r>
      <w:r>
        <w:t>). For example, for</w:t>
      </w:r>
      <w:r w:rsidR="0025417B">
        <w:t xml:space="preserve"> </w:t>
      </w:r>
      <w:r>
        <w:rPr>
          <w:i/>
          <w:iCs/>
        </w:rPr>
        <w:t>N</w:t>
      </w:r>
      <w:r>
        <w:t>=2 and</w:t>
      </w:r>
      <w:r w:rsidR="0025417B">
        <w:t xml:space="preserve"> </w:t>
      </w:r>
      <w:r>
        <w:rPr>
          <w:i/>
          <w:iCs/>
        </w:rPr>
        <w:t>n</w:t>
      </w:r>
      <w:r>
        <w:t>=2, the mean allelic diversity and the expected heterozygosity (</w:t>
      </w:r>
      <w:r>
        <w:rPr>
          <w:i/>
          <w:iCs/>
        </w:rPr>
        <w:t>E(H)</w:t>
      </w:r>
      <w:r>
        <w:t>) decline at similar rates, whereas the mean allelic diversity when</w:t>
      </w:r>
      <w:r w:rsidR="0025417B">
        <w:t xml:space="preserve"> </w:t>
      </w:r>
      <w:r>
        <w:rPr>
          <w:i/>
          <w:iCs/>
        </w:rPr>
        <w:t>n</w:t>
      </w:r>
      <w:r>
        <w:t>=5 or</w:t>
      </w:r>
      <w:r w:rsidR="0025417B">
        <w:t xml:space="preserve"> </w:t>
      </w:r>
      <w:r>
        <w:rPr>
          <w:i/>
          <w:iCs/>
        </w:rPr>
        <w:t>n</w:t>
      </w:r>
      <w:r>
        <w:t>=10 drops off much more sharply than heterozygosity.</w:t>
      </w:r>
    </w:p>
    <w:p w14:paraId="75E5FBF2" w14:textId="77777777" w:rsidR="008E6A8B" w:rsidRPr="008E6A8B" w:rsidRDefault="00577A67" w:rsidP="008E6A8B">
      <w:r>
        <w:t>Extra Credit) Calculate allelic diversity (</w:t>
      </w:r>
      <w:r>
        <w:rPr>
          <w:i/>
          <w:iCs/>
        </w:rPr>
        <w:t>A</w:t>
      </w:r>
      <w:r>
        <w:t>) for the same population sizes as in question (1) for populations starting with 5 alleles and populations starting with 20 alleles. How do population size and original number of alleles affect loss of allelic diversity?</w:t>
      </w:r>
    </w:p>
    <w:p w14:paraId="12FF7CEF" w14:textId="77777777" w:rsidR="00283F45" w:rsidRDefault="00283F45" w:rsidP="00283F45">
      <w:pPr>
        <w:pStyle w:val="Heading1"/>
      </w:pPr>
      <w:r>
        <w:t>Source</w:t>
      </w:r>
    </w:p>
    <w:p w14:paraId="6E68A6C7" w14:textId="77777777" w:rsidR="00B1395E" w:rsidRDefault="00B1395E" w:rsidP="00B1395E">
      <w:proofErr w:type="spellStart"/>
      <w:r>
        <w:t>Allendorf</w:t>
      </w:r>
      <w:proofErr w:type="spellEnd"/>
      <w:r>
        <w:t xml:space="preserve">, F. W. 1986. Genetic drift and the loss of alleles versus heterozygosity. </w:t>
      </w:r>
      <w:r w:rsidRPr="00AD3902">
        <w:rPr>
          <w:i/>
        </w:rPr>
        <w:t>Zoo Biology 5</w:t>
      </w:r>
      <w:r>
        <w:t>:181-190.</w:t>
      </w:r>
    </w:p>
    <w:p w14:paraId="3FD304D9" w14:textId="77777777" w:rsidR="008E6A8B" w:rsidRDefault="00B1395E" w:rsidP="00B1395E">
      <w:proofErr w:type="spellStart"/>
      <w:r>
        <w:t>Futuyma</w:t>
      </w:r>
      <w:proofErr w:type="spellEnd"/>
      <w:r>
        <w:t xml:space="preserve">, D. J. 1986. </w:t>
      </w:r>
      <w:r w:rsidRPr="006F2AC3">
        <w:rPr>
          <w:i/>
        </w:rPr>
        <w:t>Evolutionary Biology, 2nd ed.</w:t>
      </w:r>
      <w:r>
        <w:t xml:space="preserve"> Sinauer Associates, Inc. Sunderland, MA.</w:t>
      </w:r>
    </w:p>
    <w:p w14:paraId="1D6DC9AF" w14:textId="77777777" w:rsidR="00A207B5" w:rsidRPr="00283F45" w:rsidRDefault="00A207B5" w:rsidP="00283F45">
      <w:pPr>
        <w:pStyle w:val="Heading1"/>
      </w:pPr>
      <w:r w:rsidRPr="00283F45">
        <w:t>About this Resource</w:t>
      </w:r>
    </w:p>
    <w:p w14:paraId="17DEF1AE"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5EEA4F0A"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DE720A0"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848E" w14:textId="77777777" w:rsidR="001C36D8" w:rsidRDefault="001C36D8" w:rsidP="00A207B5">
      <w:r>
        <w:separator/>
      </w:r>
    </w:p>
  </w:endnote>
  <w:endnote w:type="continuationSeparator" w:id="0">
    <w:p w14:paraId="37B1902D" w14:textId="77777777" w:rsidR="001C36D8" w:rsidRDefault="001C36D8" w:rsidP="00A207B5">
      <w:r>
        <w:continuationSeparator/>
      </w:r>
    </w:p>
  </w:endnote>
  <w:endnote w:id="1">
    <w:p w14:paraId="4A9BFEA4" w14:textId="77777777" w:rsidR="00A207B5" w:rsidRDefault="00A207B5" w:rsidP="00A207B5">
      <w:pPr>
        <w:pStyle w:val="EndnoteText"/>
      </w:pPr>
      <w:r>
        <w:rPr>
          <w:rStyle w:val="EndnoteReference"/>
        </w:rPr>
        <w:endnoteRef/>
      </w:r>
      <w:r>
        <w:t xml:space="preserve"> http://www.tiem.utk.edu/~gross/bioed/</w:t>
      </w:r>
    </w:p>
  </w:endnote>
  <w:endnote w:id="2">
    <w:p w14:paraId="5D84C7F3" w14:textId="77777777" w:rsidR="00A207B5" w:rsidRDefault="00A207B5" w:rsidP="00A207B5">
      <w:pPr>
        <w:pStyle w:val="EndnoteText"/>
      </w:pPr>
      <w:r>
        <w:rPr>
          <w:rStyle w:val="EndnoteReference"/>
        </w:rPr>
        <w:endnoteRef/>
      </w:r>
      <w:r>
        <w:t xml:space="preserve"> https://qubeshub.org/community/groups/quantbioatcc/</w:t>
      </w:r>
    </w:p>
  </w:endnote>
  <w:endnote w:id="3">
    <w:p w14:paraId="49F7951C"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3A20393A" w14:textId="042D9F3C" w:rsidR="00A207B5" w:rsidRDefault="00A207B5" w:rsidP="00A207B5">
      <w:pPr>
        <w:pStyle w:val="EndnoteText"/>
      </w:pPr>
      <w:r>
        <w:rPr>
          <w:rStyle w:val="EndnoteReference"/>
        </w:rPr>
        <w:endnoteRef/>
      </w:r>
      <w:r>
        <w:t xml:space="preserve"> </w:t>
      </w:r>
      <w:r w:rsidRPr="00B50C5B">
        <w:t>https://qubeshub.org/qubesresources/publications/</w:t>
      </w:r>
      <w:r w:rsidR="0011120F">
        <w:t>1052</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4315" w14:textId="77777777" w:rsidR="001C36D8" w:rsidRDefault="001C36D8" w:rsidP="00A207B5">
      <w:r>
        <w:separator/>
      </w:r>
    </w:p>
  </w:footnote>
  <w:footnote w:type="continuationSeparator" w:id="0">
    <w:p w14:paraId="1546F473" w14:textId="77777777" w:rsidR="001C36D8" w:rsidRDefault="001C36D8"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4D"/>
    <w:rsid w:val="0003287A"/>
    <w:rsid w:val="000D79DD"/>
    <w:rsid w:val="0011120F"/>
    <w:rsid w:val="00150F34"/>
    <w:rsid w:val="00153BF9"/>
    <w:rsid w:val="00161391"/>
    <w:rsid w:val="001647AF"/>
    <w:rsid w:val="0018041B"/>
    <w:rsid w:val="001B1A22"/>
    <w:rsid w:val="001C36D8"/>
    <w:rsid w:val="001E2492"/>
    <w:rsid w:val="0025417B"/>
    <w:rsid w:val="00283F45"/>
    <w:rsid w:val="002C56C2"/>
    <w:rsid w:val="002C71F1"/>
    <w:rsid w:val="00302242"/>
    <w:rsid w:val="003237A0"/>
    <w:rsid w:val="003607A8"/>
    <w:rsid w:val="0037697C"/>
    <w:rsid w:val="003D194D"/>
    <w:rsid w:val="003E1B83"/>
    <w:rsid w:val="00476A9A"/>
    <w:rsid w:val="004C5039"/>
    <w:rsid w:val="00503855"/>
    <w:rsid w:val="00514849"/>
    <w:rsid w:val="005251F1"/>
    <w:rsid w:val="00577A67"/>
    <w:rsid w:val="005C764D"/>
    <w:rsid w:val="00621462"/>
    <w:rsid w:val="006F2AC3"/>
    <w:rsid w:val="00735464"/>
    <w:rsid w:val="007F0B29"/>
    <w:rsid w:val="00893506"/>
    <w:rsid w:val="00897E96"/>
    <w:rsid w:val="008C267B"/>
    <w:rsid w:val="008C6F56"/>
    <w:rsid w:val="008D2491"/>
    <w:rsid w:val="008E1592"/>
    <w:rsid w:val="008E6A8B"/>
    <w:rsid w:val="00965A31"/>
    <w:rsid w:val="009F2F12"/>
    <w:rsid w:val="00A207B5"/>
    <w:rsid w:val="00AD3902"/>
    <w:rsid w:val="00B1395E"/>
    <w:rsid w:val="00B71510"/>
    <w:rsid w:val="00BA4DFA"/>
    <w:rsid w:val="00BA7DEF"/>
    <w:rsid w:val="00BE3B85"/>
    <w:rsid w:val="00BF20F6"/>
    <w:rsid w:val="00C52E32"/>
    <w:rsid w:val="00CB5FFC"/>
    <w:rsid w:val="00CD3585"/>
    <w:rsid w:val="00D37D51"/>
    <w:rsid w:val="00DB5A46"/>
    <w:rsid w:val="00DC6ECD"/>
    <w:rsid w:val="00DE0038"/>
    <w:rsid w:val="00E12B89"/>
    <w:rsid w:val="00E92C55"/>
    <w:rsid w:val="00EF6360"/>
    <w:rsid w:val="00F32E82"/>
    <w:rsid w:val="00F5219E"/>
    <w:rsid w:val="00F75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0885B5"/>
  <w15:chartTrackingRefBased/>
  <w15:docId w15:val="{7F4D0841-BA43-ED4D-AD9B-80D6F5F3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8C267B"/>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8C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2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2997">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29374027">
      <w:bodyDiv w:val="1"/>
      <w:marLeft w:val="0"/>
      <w:marRight w:val="0"/>
      <w:marTop w:val="0"/>
      <w:marBottom w:val="0"/>
      <w:divBdr>
        <w:top w:val="none" w:sz="0" w:space="0" w:color="auto"/>
        <w:left w:val="none" w:sz="0" w:space="0" w:color="auto"/>
        <w:bottom w:val="none" w:sz="0" w:space="0" w:color="auto"/>
        <w:right w:val="none" w:sz="0" w:space="0" w:color="auto"/>
      </w:divBdr>
    </w:div>
    <w:div w:id="1134639038">
      <w:bodyDiv w:val="1"/>
      <w:marLeft w:val="0"/>
      <w:marRight w:val="0"/>
      <w:marTop w:val="0"/>
      <w:marBottom w:val="0"/>
      <w:divBdr>
        <w:top w:val="none" w:sz="0" w:space="0" w:color="auto"/>
        <w:left w:val="none" w:sz="0" w:space="0" w:color="auto"/>
        <w:bottom w:val="none" w:sz="0" w:space="0" w:color="auto"/>
        <w:right w:val="none" w:sz="0" w:space="0" w:color="auto"/>
      </w:divBdr>
    </w:div>
    <w:div w:id="1426028770">
      <w:bodyDiv w:val="1"/>
      <w:marLeft w:val="0"/>
      <w:marRight w:val="0"/>
      <w:marTop w:val="0"/>
      <w:marBottom w:val="0"/>
      <w:divBdr>
        <w:top w:val="none" w:sz="0" w:space="0" w:color="auto"/>
        <w:left w:val="none" w:sz="0" w:space="0" w:color="auto"/>
        <w:bottom w:val="none" w:sz="0" w:space="0" w:color="auto"/>
        <w:right w:val="none" w:sz="0" w:space="0" w:color="auto"/>
      </w:divBdr>
    </w:div>
    <w:div w:id="1887374154">
      <w:bodyDiv w:val="1"/>
      <w:marLeft w:val="0"/>
      <w:marRight w:val="0"/>
      <w:marTop w:val="0"/>
      <w:marBottom w:val="0"/>
      <w:divBdr>
        <w:top w:val="none" w:sz="0" w:space="0" w:color="auto"/>
        <w:left w:val="none" w:sz="0" w:space="0" w:color="auto"/>
        <w:bottom w:val="none" w:sz="0" w:space="0" w:color="auto"/>
        <w:right w:val="none" w:sz="0" w:space="0" w:color="auto"/>
      </w:divBdr>
    </w:div>
    <w:div w:id="20383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10</TotalTime>
  <Pages>6</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43</cp:revision>
  <dcterms:created xsi:type="dcterms:W3CDTF">2019-01-17T00:53:00Z</dcterms:created>
  <dcterms:modified xsi:type="dcterms:W3CDTF">2019-02-04T04:29:00Z</dcterms:modified>
</cp:coreProperties>
</file>