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0258A" w14:textId="77777777" w:rsidR="00A207B5" w:rsidRPr="00A207B5" w:rsidRDefault="005F2BAD" w:rsidP="00A207B5">
      <w:pPr>
        <w:pStyle w:val="Title"/>
      </w:pPr>
      <w:r w:rsidRPr="005F2BAD">
        <w:t>Population Genetics: Limits to Adaptation</w:t>
      </w:r>
    </w:p>
    <w:p w14:paraId="448CE484" w14:textId="77777777" w:rsidR="00A207B5" w:rsidRDefault="00A207B5" w:rsidP="00283F45">
      <w:pPr>
        <w:pStyle w:val="Heading1"/>
      </w:pPr>
      <w:r w:rsidRPr="00283F45">
        <w:t>Introduction</w:t>
      </w:r>
    </w:p>
    <w:p w14:paraId="6C277D6F" w14:textId="77777777" w:rsidR="008E6A8B" w:rsidRPr="008E6A8B" w:rsidRDefault="00424F76" w:rsidP="008E6A8B">
      <w:r w:rsidRPr="00424F76">
        <w:t>Organisms are generally assumed to exhibit traits that are adaptive to the specifics of the environment in which they are found, as a result of natural selection. Some studies have indicated, however, that certain traits appear to be maladaptive, yet they are maintained within a population. This maladaptation may be a result of genetic constraints (such as a trait that is genetically correlated with another trait that is changing under selection), recent or fluctuating changes in selective pressures, conflicts between natural selection and sexual selection (for example, the long tail feathers of male peacocks), or gene flow (the movement of genes between two or more populations). The latter is the focus of this module.</w:t>
      </w:r>
    </w:p>
    <w:p w14:paraId="4203F13A" w14:textId="77777777" w:rsidR="00283F45" w:rsidRDefault="00283F45" w:rsidP="00283F45">
      <w:pPr>
        <w:pStyle w:val="Heading1"/>
      </w:pPr>
      <w:r w:rsidRPr="00283F45">
        <w:t>Importance</w:t>
      </w:r>
    </w:p>
    <w:p w14:paraId="2C4A191C" w14:textId="08C2868C" w:rsidR="008E6A8B" w:rsidRPr="008E6A8B" w:rsidRDefault="008723EF" w:rsidP="008E6A8B">
      <w:r w:rsidRPr="008723EF">
        <w:t xml:space="preserve">The role of gene flow in limiting adaptation has been debated by biologists. </w:t>
      </w:r>
      <w:r w:rsidR="007C14A5" w:rsidRPr="008723EF">
        <w:t>However,</w:t>
      </w:r>
      <w:r w:rsidRPr="008723EF">
        <w:t xml:space="preserve"> there is evidence from field and lab experiments to indicate that gene flow can be an important </w:t>
      </w:r>
      <w:r w:rsidR="007C14A5" w:rsidRPr="008723EF">
        <w:t>factor and</w:t>
      </w:r>
      <w:r w:rsidRPr="008723EF">
        <w:t xml:space="preserve"> may help explain the persistence of maladaptive traits in some populations.</w:t>
      </w:r>
    </w:p>
    <w:p w14:paraId="31B21540" w14:textId="77777777" w:rsidR="00283F45" w:rsidRDefault="00283F45" w:rsidP="00283F45">
      <w:pPr>
        <w:pStyle w:val="Heading1"/>
      </w:pPr>
      <w:r>
        <w:t>Questions</w:t>
      </w:r>
    </w:p>
    <w:p w14:paraId="17E5F612" w14:textId="77777777" w:rsidR="008E6A8B" w:rsidRPr="008E6A8B" w:rsidRDefault="00B87D2D" w:rsidP="008E6A8B">
      <w:r w:rsidRPr="00B87D2D">
        <w:t>How is gene flow measured? What conclusions can be drawn from these measurements?</w:t>
      </w:r>
    </w:p>
    <w:p w14:paraId="6C1DBE65" w14:textId="77777777" w:rsidR="00DA0E16" w:rsidRPr="00DA0E16" w:rsidRDefault="00283F45" w:rsidP="00DA0E16">
      <w:pPr>
        <w:pStyle w:val="Heading1"/>
      </w:pPr>
      <w:r>
        <w:t>Variables</w:t>
      </w:r>
    </w:p>
    <w:tbl>
      <w:tblPr>
        <w:tblW w:w="46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803"/>
        <w:gridCol w:w="3872"/>
      </w:tblGrid>
      <w:tr w:rsidR="00DA0E16" w:rsidRPr="00DA0E16" w14:paraId="7BD89057" w14:textId="77777777" w:rsidTr="00DA0E16">
        <w:trPr>
          <w:tblCellSpacing w:w="15" w:type="dxa"/>
        </w:trPr>
        <w:tc>
          <w:tcPr>
            <w:tcW w:w="811" w:type="pct"/>
            <w:shd w:val="clear" w:color="auto" w:fill="FFFFFF"/>
            <w:hideMark/>
          </w:tcPr>
          <w:p w14:paraId="4C1E08D3" w14:textId="77777777" w:rsidR="00DA0E16" w:rsidRPr="00DA0E16" w:rsidRDefault="00DA0E16" w:rsidP="00DA0E16">
            <w:pPr>
              <w:pStyle w:val="TableContent"/>
              <w:rPr>
                <w:lang w:eastAsia="zh-CN"/>
              </w:rPr>
            </w:pPr>
            <w:r w:rsidRPr="00DA0E16">
              <w:rPr>
                <w:lang w:eastAsia="zh-CN"/>
              </w:rPr>
              <w:t>F</w:t>
            </w:r>
            <w:r w:rsidRPr="00DA0E16">
              <w:rPr>
                <w:vertAlign w:val="subscript"/>
                <w:lang w:eastAsia="zh-CN"/>
              </w:rPr>
              <w:t>ST</w:t>
            </w:r>
          </w:p>
        </w:tc>
        <w:tc>
          <w:tcPr>
            <w:tcW w:w="4093" w:type="pct"/>
            <w:shd w:val="clear" w:color="auto" w:fill="FFFFFF"/>
            <w:hideMark/>
          </w:tcPr>
          <w:p w14:paraId="3745624A" w14:textId="77777777" w:rsidR="00DA0E16" w:rsidRPr="00DA0E16" w:rsidRDefault="00DA0E16" w:rsidP="00DA0E16">
            <w:pPr>
              <w:pStyle w:val="TableContent"/>
              <w:rPr>
                <w:lang w:eastAsia="zh-CN"/>
              </w:rPr>
            </w:pPr>
            <w:r w:rsidRPr="00DA0E16">
              <w:rPr>
                <w:lang w:eastAsia="zh-CN"/>
              </w:rPr>
              <w:t>fixation index</w:t>
            </w:r>
          </w:p>
        </w:tc>
      </w:tr>
      <w:tr w:rsidR="00DA0E16" w:rsidRPr="00DA0E16" w14:paraId="67A1D84A" w14:textId="77777777" w:rsidTr="00DA0E16">
        <w:trPr>
          <w:tblCellSpacing w:w="15" w:type="dxa"/>
        </w:trPr>
        <w:tc>
          <w:tcPr>
            <w:tcW w:w="811" w:type="pct"/>
            <w:shd w:val="clear" w:color="auto" w:fill="FFFFFF"/>
            <w:hideMark/>
          </w:tcPr>
          <w:p w14:paraId="3E26432E" w14:textId="77777777" w:rsidR="00DA0E16" w:rsidRPr="00DA0E16" w:rsidRDefault="00DA0E16" w:rsidP="00DA0E16">
            <w:pPr>
              <w:pStyle w:val="TableContent"/>
              <w:rPr>
                <w:lang w:eastAsia="zh-CN"/>
              </w:rPr>
            </w:pPr>
            <w:r w:rsidRPr="00DA0E16">
              <w:rPr>
                <w:lang w:eastAsia="zh-CN"/>
              </w:rPr>
              <w:t>N</w:t>
            </w:r>
          </w:p>
        </w:tc>
        <w:tc>
          <w:tcPr>
            <w:tcW w:w="4093" w:type="pct"/>
            <w:shd w:val="clear" w:color="auto" w:fill="FFFFFF"/>
            <w:hideMark/>
          </w:tcPr>
          <w:p w14:paraId="5CEC1300" w14:textId="77777777" w:rsidR="00DA0E16" w:rsidRPr="00DA0E16" w:rsidRDefault="00DA0E16" w:rsidP="00DA0E16">
            <w:pPr>
              <w:pStyle w:val="TableContent"/>
              <w:rPr>
                <w:lang w:eastAsia="zh-CN"/>
              </w:rPr>
            </w:pPr>
            <w:r w:rsidRPr="00DA0E16">
              <w:rPr>
                <w:lang w:eastAsia="zh-CN"/>
              </w:rPr>
              <w:t>effective population size</w:t>
            </w:r>
          </w:p>
        </w:tc>
      </w:tr>
      <w:tr w:rsidR="00DA0E16" w:rsidRPr="00DA0E16" w14:paraId="48810744" w14:textId="77777777" w:rsidTr="00DA0E16">
        <w:trPr>
          <w:tblCellSpacing w:w="15" w:type="dxa"/>
        </w:trPr>
        <w:tc>
          <w:tcPr>
            <w:tcW w:w="811" w:type="pct"/>
            <w:shd w:val="clear" w:color="auto" w:fill="FFFFFF"/>
            <w:hideMark/>
          </w:tcPr>
          <w:p w14:paraId="46F3814C" w14:textId="77777777" w:rsidR="00DA0E16" w:rsidRPr="00DA0E16" w:rsidRDefault="00DA0E16" w:rsidP="00DA0E16">
            <w:pPr>
              <w:pStyle w:val="TableContent"/>
              <w:rPr>
                <w:lang w:eastAsia="zh-CN"/>
              </w:rPr>
            </w:pPr>
            <w:r w:rsidRPr="00DA0E16">
              <w:rPr>
                <w:lang w:eastAsia="zh-CN"/>
              </w:rPr>
              <w:t>m</w:t>
            </w:r>
          </w:p>
        </w:tc>
        <w:tc>
          <w:tcPr>
            <w:tcW w:w="4093" w:type="pct"/>
            <w:shd w:val="clear" w:color="auto" w:fill="FFFFFF"/>
            <w:hideMark/>
          </w:tcPr>
          <w:p w14:paraId="06B42877" w14:textId="77777777" w:rsidR="00DA0E16" w:rsidRPr="00DA0E16" w:rsidRDefault="00DA0E16" w:rsidP="00DA0E16">
            <w:pPr>
              <w:pStyle w:val="TableContent"/>
              <w:rPr>
                <w:lang w:eastAsia="zh-CN"/>
              </w:rPr>
            </w:pPr>
            <w:r w:rsidRPr="00DA0E16">
              <w:rPr>
                <w:lang w:eastAsia="zh-CN"/>
              </w:rPr>
              <w:t>effective proportion of immigrants</w:t>
            </w:r>
          </w:p>
        </w:tc>
      </w:tr>
      <w:tr w:rsidR="00DA0E16" w:rsidRPr="00DA0E16" w14:paraId="375F7D96" w14:textId="77777777" w:rsidTr="00DA0E16">
        <w:trPr>
          <w:tblCellSpacing w:w="15" w:type="dxa"/>
        </w:trPr>
        <w:tc>
          <w:tcPr>
            <w:tcW w:w="811" w:type="pct"/>
            <w:shd w:val="clear" w:color="auto" w:fill="FFFFFF"/>
            <w:hideMark/>
          </w:tcPr>
          <w:p w14:paraId="190091B9" w14:textId="77777777" w:rsidR="00DA0E16" w:rsidRPr="00DA0E16" w:rsidRDefault="00DA0E16" w:rsidP="00DA0E16">
            <w:pPr>
              <w:pStyle w:val="TableContent"/>
              <w:rPr>
                <w:lang w:eastAsia="zh-CN"/>
              </w:rPr>
            </w:pPr>
            <w:proofErr w:type="spellStart"/>
            <w:r w:rsidRPr="00DA0E16">
              <w:rPr>
                <w:lang w:eastAsia="zh-CN"/>
              </w:rPr>
              <w:t>Nm</w:t>
            </w:r>
            <w:r w:rsidRPr="00DA0E16">
              <w:rPr>
                <w:vertAlign w:val="subscript"/>
                <w:lang w:eastAsia="zh-CN"/>
              </w:rPr>
              <w:t>est</w:t>
            </w:r>
            <w:proofErr w:type="spellEnd"/>
          </w:p>
        </w:tc>
        <w:tc>
          <w:tcPr>
            <w:tcW w:w="4093" w:type="pct"/>
            <w:shd w:val="clear" w:color="auto" w:fill="FFFFFF"/>
            <w:hideMark/>
          </w:tcPr>
          <w:p w14:paraId="45E32DC3" w14:textId="77777777" w:rsidR="00DA0E16" w:rsidRPr="00DA0E16" w:rsidRDefault="00DA0E16" w:rsidP="00DA0E16">
            <w:pPr>
              <w:pStyle w:val="TableContent"/>
              <w:rPr>
                <w:lang w:eastAsia="zh-CN"/>
              </w:rPr>
            </w:pPr>
            <w:r w:rsidRPr="00DA0E16">
              <w:rPr>
                <w:lang w:eastAsia="zh-CN"/>
              </w:rPr>
              <w:t>estimate of gene flow</w:t>
            </w:r>
          </w:p>
        </w:tc>
      </w:tr>
      <w:tr w:rsidR="00DA0E16" w:rsidRPr="00DA0E16" w14:paraId="73D32675" w14:textId="77777777" w:rsidTr="00DA0E16">
        <w:trPr>
          <w:tblCellSpacing w:w="15" w:type="dxa"/>
        </w:trPr>
        <w:tc>
          <w:tcPr>
            <w:tcW w:w="811" w:type="pct"/>
            <w:shd w:val="clear" w:color="auto" w:fill="FFFFFF"/>
            <w:hideMark/>
          </w:tcPr>
          <w:p w14:paraId="6561C4F9" w14:textId="77777777" w:rsidR="00DA0E16" w:rsidRPr="00DA0E16" w:rsidRDefault="00DA0E16" w:rsidP="00DA0E16">
            <w:pPr>
              <w:pStyle w:val="TableContent"/>
              <w:rPr>
                <w:lang w:eastAsia="zh-CN"/>
              </w:rPr>
            </w:pPr>
            <w:proofErr w:type="gramStart"/>
            <w:r w:rsidRPr="00DA0E16">
              <w:rPr>
                <w:lang w:eastAsia="zh-CN"/>
              </w:rPr>
              <w:t>p(</w:t>
            </w:r>
            <w:proofErr w:type="gramEnd"/>
            <w:r w:rsidRPr="00DA0E16">
              <w:rPr>
                <w:lang w:eastAsia="zh-CN"/>
              </w:rPr>
              <w:t>1)</w:t>
            </w:r>
          </w:p>
        </w:tc>
        <w:tc>
          <w:tcPr>
            <w:tcW w:w="4093" w:type="pct"/>
            <w:shd w:val="clear" w:color="auto" w:fill="FFFFFF"/>
            <w:hideMark/>
          </w:tcPr>
          <w:p w14:paraId="72CE6A5B" w14:textId="77777777" w:rsidR="00DA0E16" w:rsidRPr="00DA0E16" w:rsidRDefault="00DA0E16" w:rsidP="00DA0E16">
            <w:pPr>
              <w:pStyle w:val="TableContent"/>
              <w:rPr>
                <w:lang w:eastAsia="zh-CN"/>
              </w:rPr>
            </w:pPr>
            <w:r w:rsidRPr="00DA0E16">
              <w:rPr>
                <w:lang w:eastAsia="zh-CN"/>
              </w:rPr>
              <w:t>average frequency of alleles observed in only one population</w:t>
            </w:r>
          </w:p>
        </w:tc>
      </w:tr>
      <w:tr w:rsidR="00DA0E16" w:rsidRPr="00DA0E16" w14:paraId="0BB09AEB" w14:textId="77777777" w:rsidTr="00DA0E16">
        <w:trPr>
          <w:tblCellSpacing w:w="15" w:type="dxa"/>
        </w:trPr>
        <w:tc>
          <w:tcPr>
            <w:tcW w:w="811" w:type="pct"/>
            <w:shd w:val="clear" w:color="auto" w:fill="FFFFFF"/>
            <w:hideMark/>
          </w:tcPr>
          <w:p w14:paraId="06774B05" w14:textId="77777777" w:rsidR="00DA0E16" w:rsidRPr="00DA0E16" w:rsidRDefault="00DA0E16" w:rsidP="00DA0E16">
            <w:pPr>
              <w:pStyle w:val="TableContent"/>
              <w:rPr>
                <w:lang w:eastAsia="zh-CN"/>
              </w:rPr>
            </w:pPr>
            <w:r w:rsidRPr="00DA0E16">
              <w:rPr>
                <w:lang w:eastAsia="zh-CN"/>
              </w:rPr>
              <w:t>a</w:t>
            </w:r>
          </w:p>
        </w:tc>
        <w:tc>
          <w:tcPr>
            <w:tcW w:w="4093" w:type="pct"/>
            <w:shd w:val="clear" w:color="auto" w:fill="FFFFFF"/>
            <w:hideMark/>
          </w:tcPr>
          <w:p w14:paraId="2985C3AD" w14:textId="77777777" w:rsidR="00DA0E16" w:rsidRPr="00DA0E16" w:rsidRDefault="00DA0E16" w:rsidP="00DA0E16">
            <w:pPr>
              <w:pStyle w:val="TableContent"/>
              <w:rPr>
                <w:lang w:eastAsia="zh-CN"/>
              </w:rPr>
            </w:pPr>
            <w:r w:rsidRPr="00DA0E16">
              <w:rPr>
                <w:lang w:eastAsia="zh-CN"/>
              </w:rPr>
              <w:t>constant</w:t>
            </w:r>
          </w:p>
        </w:tc>
      </w:tr>
      <w:tr w:rsidR="00DA0E16" w:rsidRPr="00DA0E16" w14:paraId="49DA3889" w14:textId="77777777" w:rsidTr="00DA0E16">
        <w:trPr>
          <w:tblCellSpacing w:w="15" w:type="dxa"/>
        </w:trPr>
        <w:tc>
          <w:tcPr>
            <w:tcW w:w="811" w:type="pct"/>
            <w:shd w:val="clear" w:color="auto" w:fill="FFFFFF"/>
            <w:hideMark/>
          </w:tcPr>
          <w:p w14:paraId="1133DF66" w14:textId="77777777" w:rsidR="00DA0E16" w:rsidRPr="00DA0E16" w:rsidRDefault="00DA0E16" w:rsidP="00DA0E16">
            <w:pPr>
              <w:pStyle w:val="TableContent"/>
              <w:rPr>
                <w:lang w:eastAsia="zh-CN"/>
              </w:rPr>
            </w:pPr>
            <w:r w:rsidRPr="00DA0E16">
              <w:rPr>
                <w:lang w:eastAsia="zh-CN"/>
              </w:rPr>
              <w:t>b</w:t>
            </w:r>
          </w:p>
        </w:tc>
        <w:tc>
          <w:tcPr>
            <w:tcW w:w="4093" w:type="pct"/>
            <w:shd w:val="clear" w:color="auto" w:fill="FFFFFF"/>
            <w:hideMark/>
          </w:tcPr>
          <w:p w14:paraId="0E0DFE1C" w14:textId="77777777" w:rsidR="00DA0E16" w:rsidRPr="00DA0E16" w:rsidRDefault="00DA0E16" w:rsidP="00DA0E16">
            <w:pPr>
              <w:pStyle w:val="TableContent"/>
              <w:rPr>
                <w:lang w:eastAsia="zh-CN"/>
              </w:rPr>
            </w:pPr>
            <w:r w:rsidRPr="00DA0E16">
              <w:rPr>
                <w:lang w:eastAsia="zh-CN"/>
              </w:rPr>
              <w:t>constant</w:t>
            </w:r>
          </w:p>
        </w:tc>
      </w:tr>
    </w:tbl>
    <w:p w14:paraId="53B7BABB" w14:textId="77777777" w:rsidR="008E6A8B" w:rsidRPr="008E6A8B" w:rsidRDefault="008E6A8B" w:rsidP="008E6A8B"/>
    <w:p w14:paraId="4A838567" w14:textId="77777777" w:rsidR="00283F45" w:rsidRDefault="00283F45" w:rsidP="00283F45">
      <w:pPr>
        <w:pStyle w:val="Heading1"/>
      </w:pPr>
      <w:r>
        <w:lastRenderedPageBreak/>
        <w:t>Methods</w:t>
      </w:r>
    </w:p>
    <w:p w14:paraId="32A1A8B8" w14:textId="77777777" w:rsidR="004356C6" w:rsidRPr="004356C6" w:rsidRDefault="004356C6" w:rsidP="004356C6">
      <w:pPr>
        <w:rPr>
          <w:lang w:eastAsia="zh-CN"/>
        </w:rPr>
      </w:pPr>
      <w:r w:rsidRPr="004356C6">
        <w:rPr>
          <w:lang w:eastAsia="zh-CN"/>
        </w:rPr>
        <w:t xml:space="preserve">Dr. Susan </w:t>
      </w:r>
      <w:proofErr w:type="spellStart"/>
      <w:r w:rsidRPr="004356C6">
        <w:rPr>
          <w:lang w:eastAsia="zh-CN"/>
        </w:rPr>
        <w:t>Riechert</w:t>
      </w:r>
      <w:proofErr w:type="spellEnd"/>
      <w:r w:rsidRPr="004356C6">
        <w:rPr>
          <w:lang w:eastAsia="zh-CN"/>
        </w:rPr>
        <w:t xml:space="preserve"> has been working with a desert spider,</w:t>
      </w:r>
      <w:r>
        <w:rPr>
          <w:lang w:eastAsia="zh-CN"/>
        </w:rPr>
        <w:t xml:space="preserve"> </w:t>
      </w:r>
      <w:proofErr w:type="spellStart"/>
      <w:r w:rsidRPr="004356C6">
        <w:rPr>
          <w:i/>
          <w:iCs/>
          <w:lang w:eastAsia="zh-CN"/>
        </w:rPr>
        <w:t>Agelenopsis</w:t>
      </w:r>
      <w:proofErr w:type="spellEnd"/>
      <w:r w:rsidRPr="004356C6">
        <w:rPr>
          <w:i/>
          <w:iCs/>
          <w:lang w:eastAsia="zh-CN"/>
        </w:rPr>
        <w:t xml:space="preserve"> </w:t>
      </w:r>
      <w:proofErr w:type="spellStart"/>
      <w:r w:rsidRPr="004356C6">
        <w:rPr>
          <w:i/>
          <w:iCs/>
          <w:lang w:eastAsia="zh-CN"/>
        </w:rPr>
        <w:t>aperta</w:t>
      </w:r>
      <w:proofErr w:type="spellEnd"/>
      <w:r w:rsidRPr="004356C6">
        <w:rPr>
          <w:lang w:eastAsia="zh-CN"/>
        </w:rPr>
        <w:t>, for over 30 years. Individuals of</w:t>
      </w:r>
      <w:r>
        <w:rPr>
          <w:lang w:eastAsia="zh-CN"/>
        </w:rPr>
        <w:t xml:space="preserve"> </w:t>
      </w:r>
      <w:r w:rsidRPr="004356C6">
        <w:rPr>
          <w:i/>
          <w:iCs/>
          <w:lang w:eastAsia="zh-CN"/>
        </w:rPr>
        <w:t xml:space="preserve">A. </w:t>
      </w:r>
      <w:proofErr w:type="spellStart"/>
      <w:r w:rsidRPr="004356C6">
        <w:rPr>
          <w:i/>
          <w:iCs/>
          <w:lang w:eastAsia="zh-CN"/>
        </w:rPr>
        <w:t>aperta</w:t>
      </w:r>
      <w:proofErr w:type="spellEnd"/>
      <w:r>
        <w:rPr>
          <w:lang w:eastAsia="zh-CN"/>
        </w:rPr>
        <w:t xml:space="preserve"> </w:t>
      </w:r>
      <w:r w:rsidRPr="004356C6">
        <w:rPr>
          <w:lang w:eastAsia="zh-CN"/>
        </w:rPr>
        <w:t xml:space="preserve">exhibit genetically based behavioral traits that adapt them to the selective pressures of different environments. </w:t>
      </w:r>
      <w:proofErr w:type="spellStart"/>
      <w:r w:rsidRPr="004356C6">
        <w:rPr>
          <w:lang w:eastAsia="zh-CN"/>
        </w:rPr>
        <w:t>Aridlands</w:t>
      </w:r>
      <w:proofErr w:type="spellEnd"/>
      <w:r w:rsidRPr="004356C6">
        <w:rPr>
          <w:lang w:eastAsia="zh-CN"/>
        </w:rPr>
        <w:t xml:space="preserve"> spiders in Arizona and New Mexico are limited by prey </w:t>
      </w:r>
      <w:r w:rsidR="00A1710A" w:rsidRPr="004356C6">
        <w:rPr>
          <w:lang w:eastAsia="zh-CN"/>
        </w:rPr>
        <w:t>availability but</w:t>
      </w:r>
      <w:r w:rsidRPr="004356C6">
        <w:rPr>
          <w:lang w:eastAsia="zh-CN"/>
        </w:rPr>
        <w:t xml:space="preserve"> have minimal predation pressures. Spiders in these habitats exhibit high levels of aggression towards other spiders of the same species (i.e., they are very territorial), and show little discrimination among prey types of differing profitability. Individuals from a riparian woodland population in Texas, on the other hand, where prey is plentiful but predation pressures (from birds) are high, exhibit low levels of aggression toward other</w:t>
      </w:r>
      <w:r w:rsidR="00A1710A">
        <w:rPr>
          <w:lang w:eastAsia="zh-CN"/>
        </w:rPr>
        <w:t xml:space="preserve"> </w:t>
      </w:r>
      <w:r w:rsidRPr="004356C6">
        <w:rPr>
          <w:i/>
          <w:iCs/>
          <w:lang w:eastAsia="zh-CN"/>
        </w:rPr>
        <w:t xml:space="preserve">A. </w:t>
      </w:r>
      <w:proofErr w:type="spellStart"/>
      <w:r w:rsidRPr="004356C6">
        <w:rPr>
          <w:i/>
          <w:iCs/>
          <w:lang w:eastAsia="zh-CN"/>
        </w:rPr>
        <w:t>aperta</w:t>
      </w:r>
      <w:proofErr w:type="spellEnd"/>
      <w:r w:rsidR="00A1710A">
        <w:rPr>
          <w:lang w:eastAsia="zh-CN"/>
        </w:rPr>
        <w:t xml:space="preserve"> </w:t>
      </w:r>
      <w:r w:rsidRPr="004356C6">
        <w:rPr>
          <w:lang w:eastAsia="zh-CN"/>
        </w:rPr>
        <w:t xml:space="preserve">individuals but discriminate between more and less profitable prey items. Finally, individuals from a riparian woodland population in Arizona, which is surrounded by </w:t>
      </w:r>
      <w:proofErr w:type="spellStart"/>
      <w:r w:rsidRPr="004356C6">
        <w:rPr>
          <w:lang w:eastAsia="zh-CN"/>
        </w:rPr>
        <w:t>aridlands</w:t>
      </w:r>
      <w:proofErr w:type="spellEnd"/>
      <w:r w:rsidRPr="004356C6">
        <w:rPr>
          <w:lang w:eastAsia="zh-CN"/>
        </w:rPr>
        <w:t xml:space="preserve"> populations, exhibit a mixture of </w:t>
      </w:r>
      <w:proofErr w:type="spellStart"/>
      <w:r w:rsidRPr="004356C6">
        <w:rPr>
          <w:lang w:eastAsia="zh-CN"/>
        </w:rPr>
        <w:t>aridlands</w:t>
      </w:r>
      <w:proofErr w:type="spellEnd"/>
      <w:r w:rsidRPr="004356C6">
        <w:rPr>
          <w:lang w:eastAsia="zh-CN"/>
        </w:rPr>
        <w:t xml:space="preserve"> and riparian behaviors.</w:t>
      </w:r>
    </w:p>
    <w:p w14:paraId="7ED26EAF" w14:textId="77777777" w:rsidR="004356C6" w:rsidRPr="004356C6" w:rsidRDefault="004356C6" w:rsidP="004356C6">
      <w:pPr>
        <w:rPr>
          <w:lang w:eastAsia="zh-CN"/>
        </w:rPr>
      </w:pPr>
      <w:r w:rsidRPr="004356C6">
        <w:rPr>
          <w:lang w:eastAsia="zh-CN"/>
        </w:rPr>
        <w:t xml:space="preserve">These </w:t>
      </w:r>
      <w:proofErr w:type="spellStart"/>
      <w:r w:rsidRPr="004356C6">
        <w:rPr>
          <w:lang w:eastAsia="zh-CN"/>
        </w:rPr>
        <w:t>aridlands</w:t>
      </w:r>
      <w:proofErr w:type="spellEnd"/>
      <w:r w:rsidRPr="004356C6">
        <w:rPr>
          <w:lang w:eastAsia="zh-CN"/>
        </w:rPr>
        <w:t xml:space="preserve"> behaviors can be considered maladaptive in a riparian environment, where web-sites are plentiful, prey </w:t>
      </w:r>
      <w:proofErr w:type="gramStart"/>
      <w:r w:rsidRPr="004356C6">
        <w:rPr>
          <w:lang w:eastAsia="zh-CN"/>
        </w:rPr>
        <w:t>are</w:t>
      </w:r>
      <w:proofErr w:type="gramEnd"/>
      <w:r w:rsidRPr="004356C6">
        <w:rPr>
          <w:lang w:eastAsia="zh-CN"/>
        </w:rPr>
        <w:t xml:space="preserve"> abundant, and predation pressures are high. Territorial behavior not only requires energy but carries risks as well; if conflicts escalate spiders can be injured or even killed. Additionally, time spent out on the web (as opposed to within the funnel retreat), whether to engage in conflicts or to capture prey, is time that spiders are vulnerable to predation by birds. For both of these reasons, we would expect selection against </w:t>
      </w:r>
      <w:proofErr w:type="spellStart"/>
      <w:r w:rsidRPr="004356C6">
        <w:rPr>
          <w:lang w:eastAsia="zh-CN"/>
        </w:rPr>
        <w:t>aridlands</w:t>
      </w:r>
      <w:proofErr w:type="spellEnd"/>
      <w:r w:rsidRPr="004356C6">
        <w:rPr>
          <w:lang w:eastAsia="zh-CN"/>
        </w:rPr>
        <w:t xml:space="preserve"> behaviors in a riparian population. </w:t>
      </w:r>
      <w:proofErr w:type="spellStart"/>
      <w:r w:rsidRPr="004356C6">
        <w:rPr>
          <w:lang w:eastAsia="zh-CN"/>
        </w:rPr>
        <w:t>Riechert</w:t>
      </w:r>
      <w:proofErr w:type="spellEnd"/>
      <w:r w:rsidRPr="004356C6">
        <w:rPr>
          <w:lang w:eastAsia="zh-CN"/>
        </w:rPr>
        <w:t xml:space="preserve"> investigated the role of gene flow in maintaining these maladaptive behaviors in the Arizona riparian population (</w:t>
      </w:r>
      <w:proofErr w:type="spellStart"/>
      <w:r w:rsidRPr="004356C6">
        <w:rPr>
          <w:lang w:eastAsia="zh-CN"/>
        </w:rPr>
        <w:t>Riechert</w:t>
      </w:r>
      <w:proofErr w:type="spellEnd"/>
      <w:r w:rsidRPr="004356C6">
        <w:rPr>
          <w:lang w:eastAsia="zh-CN"/>
        </w:rPr>
        <w:t xml:space="preserve"> 1993) using electrophoretic techniques to analyze five local populations (the riparian woodland population plus four nearby populations from more arid habitats).</w:t>
      </w:r>
    </w:p>
    <w:p w14:paraId="69ED3997" w14:textId="77777777" w:rsidR="004356C6" w:rsidRDefault="004356C6" w:rsidP="004356C6">
      <w:pPr>
        <w:rPr>
          <w:lang w:eastAsia="zh-CN"/>
        </w:rPr>
      </w:pPr>
      <w:r w:rsidRPr="004356C6">
        <w:rPr>
          <w:lang w:eastAsia="zh-CN"/>
        </w:rPr>
        <w:t>The following equation can be used to estimate gene flow: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D599B" w14:paraId="76C180D4" w14:textId="77777777" w:rsidTr="00BC1527">
        <w:tc>
          <w:tcPr>
            <w:tcW w:w="4675" w:type="dxa"/>
            <w:vAlign w:val="center"/>
          </w:tcPr>
          <w:p w14:paraId="4CC7462C" w14:textId="77777777" w:rsidR="00ED599B" w:rsidRDefault="00ED599B" w:rsidP="00BC1527">
            <w:pPr>
              <w:rPr>
                <w:lang w:eastAsia="zh-CN"/>
              </w:rPr>
            </w:pPr>
            <m:oMathPara>
              <m:oMath>
                <m:r>
                  <w:rPr>
                    <w:rFonts w:ascii="Cambria Math" w:hAnsi="Cambria Math"/>
                    <w:lang w:eastAsia="zh-CN"/>
                  </w:rPr>
                  <m:t>N</m:t>
                </m:r>
                <m:sSub>
                  <m:sSubPr>
                    <m:ctrlPr>
                      <w:rPr>
                        <w:rFonts w:ascii="Cambria Math" w:hAnsi="Cambria Math"/>
                        <w:i/>
                        <w:lang w:eastAsia="zh-CN"/>
                      </w:rPr>
                    </m:ctrlPr>
                  </m:sSubPr>
                  <m:e>
                    <m:r>
                      <w:rPr>
                        <w:rFonts w:ascii="Cambria Math" w:hAnsi="Cambria Math"/>
                        <w:lang w:eastAsia="zh-CN"/>
                      </w:rPr>
                      <m:t>m</m:t>
                    </m:r>
                  </m:e>
                  <m:sub>
                    <m:r>
                      <w:rPr>
                        <w:rFonts w:ascii="Cambria Math" w:hAnsi="Cambria Math"/>
                        <w:lang w:eastAsia="zh-CN"/>
                      </w:rPr>
                      <m:t>est</m:t>
                    </m:r>
                  </m:sub>
                </m:sSub>
                <m:r>
                  <w:rPr>
                    <w:rFonts w:ascii="Cambria Math" w:hAnsi="Cambria Math"/>
                    <w:lang w:eastAsia="zh-CN"/>
                  </w:rPr>
                  <m:t>=</m:t>
                </m:r>
                <m:f>
                  <m:fPr>
                    <m:ctrlPr>
                      <w:rPr>
                        <w:rFonts w:ascii="Cambria Math" w:hAnsi="Cambria Math"/>
                        <w:i/>
                        <w:lang w:eastAsia="zh-CN"/>
                      </w:rPr>
                    </m:ctrlPr>
                  </m:fPr>
                  <m:num>
                    <m:d>
                      <m:dPr>
                        <m:ctrlPr>
                          <w:rPr>
                            <w:rFonts w:ascii="Cambria Math" w:hAnsi="Cambria Math"/>
                            <w:i/>
                            <w:lang w:eastAsia="zh-CN"/>
                          </w:rPr>
                        </m:ctrlPr>
                      </m:dPr>
                      <m:e>
                        <m:f>
                          <m:fPr>
                            <m:type m:val="lin"/>
                            <m:ctrlPr>
                              <w:rPr>
                                <w:rFonts w:ascii="Cambria Math" w:hAnsi="Cambria Math"/>
                                <w:i/>
                                <w:lang w:eastAsia="zh-CN"/>
                              </w:rPr>
                            </m:ctrlPr>
                          </m:fPr>
                          <m:num>
                            <m:r>
                              <w:rPr>
                                <w:rFonts w:ascii="Cambria Math" w:hAnsi="Cambria Math"/>
                                <w:lang w:eastAsia="zh-CN"/>
                              </w:rPr>
                              <m:t>1</m:t>
                            </m:r>
                          </m:num>
                          <m:den>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ST</m:t>
                                </m:r>
                              </m:sub>
                            </m:sSub>
                            <m:r>
                              <w:rPr>
                                <w:rFonts w:ascii="Cambria Math" w:hAnsi="Cambria Math"/>
                                <w:lang w:eastAsia="zh-CN"/>
                              </w:rPr>
                              <m:t>-1</m:t>
                            </m:r>
                          </m:den>
                        </m:f>
                      </m:e>
                    </m:d>
                  </m:num>
                  <m:den>
                    <m:r>
                      <w:rPr>
                        <w:rFonts w:ascii="Cambria Math" w:hAnsi="Cambria Math"/>
                        <w:lang w:eastAsia="zh-CN"/>
                      </w:rPr>
                      <m:t>4</m:t>
                    </m:r>
                  </m:den>
                </m:f>
              </m:oMath>
            </m:oMathPara>
          </w:p>
        </w:tc>
        <w:tc>
          <w:tcPr>
            <w:tcW w:w="4675" w:type="dxa"/>
            <w:vAlign w:val="center"/>
          </w:tcPr>
          <w:p w14:paraId="13DBEA8B" w14:textId="77777777" w:rsidR="00ED599B" w:rsidRDefault="00ED599B" w:rsidP="00BC1527">
            <w:pPr>
              <w:rPr>
                <w:lang w:eastAsia="zh-CN"/>
              </w:rPr>
            </w:pPr>
            <w:r>
              <w:rPr>
                <w:lang w:eastAsia="zh-CN"/>
              </w:rPr>
              <w:t xml:space="preserve">LaTeX Code: </w:t>
            </w:r>
            <w:proofErr w:type="gramStart"/>
            <w:r>
              <w:rPr>
                <w:lang w:eastAsia="zh-CN"/>
              </w:rPr>
              <w:t>\[</w:t>
            </w:r>
            <w:proofErr w:type="gramEnd"/>
            <w:r>
              <w:rPr>
                <w:lang w:eastAsia="zh-CN"/>
              </w:rPr>
              <w:t xml:space="preserve"> Nm_{</w:t>
            </w:r>
            <w:proofErr w:type="spellStart"/>
            <w:r>
              <w:rPr>
                <w:lang w:eastAsia="zh-CN"/>
              </w:rPr>
              <w:t>est</w:t>
            </w:r>
            <w:proofErr w:type="spellEnd"/>
            <w:r>
              <w:rPr>
                <w:lang w:eastAsia="zh-CN"/>
              </w:rPr>
              <w:t>} = \frac{(1 / F_{ST} - 1)}{4} \]</w:t>
            </w:r>
          </w:p>
        </w:tc>
      </w:tr>
    </w:tbl>
    <w:p w14:paraId="787836E7" w14:textId="77777777" w:rsidR="004356C6" w:rsidRPr="004356C6" w:rsidRDefault="004356C6" w:rsidP="004356C6">
      <w:pPr>
        <w:rPr>
          <w:lang w:eastAsia="zh-CN"/>
        </w:rPr>
      </w:pPr>
      <w:r w:rsidRPr="004356C6">
        <w:rPr>
          <w:lang w:eastAsia="zh-CN"/>
        </w:rPr>
        <w:t>where</w:t>
      </w:r>
      <w:r w:rsidR="00BF5539">
        <w:rPr>
          <w:lang w:eastAsia="zh-CN"/>
        </w:rPr>
        <w:t xml:space="preserve"> </w:t>
      </w:r>
      <w:r w:rsidRPr="004356C6">
        <w:rPr>
          <w:i/>
          <w:iCs/>
          <w:lang w:eastAsia="zh-CN"/>
        </w:rPr>
        <w:t>N</w:t>
      </w:r>
      <w:r w:rsidR="00BF5539">
        <w:rPr>
          <w:lang w:eastAsia="zh-CN"/>
        </w:rPr>
        <w:t xml:space="preserve"> </w:t>
      </w:r>
      <w:r w:rsidRPr="004356C6">
        <w:rPr>
          <w:lang w:eastAsia="zh-CN"/>
        </w:rPr>
        <w:t>is the effective population size (see EFFECTIVE POPULATION SIZE),</w:t>
      </w:r>
      <w:r w:rsidR="0047045E">
        <w:rPr>
          <w:lang w:eastAsia="zh-CN"/>
        </w:rPr>
        <w:t xml:space="preserve"> </w:t>
      </w:r>
      <w:r w:rsidRPr="004356C6">
        <w:rPr>
          <w:i/>
          <w:iCs/>
          <w:lang w:eastAsia="zh-CN"/>
        </w:rPr>
        <w:t>m</w:t>
      </w:r>
      <w:r w:rsidR="0047045E">
        <w:rPr>
          <w:lang w:eastAsia="zh-CN"/>
        </w:rPr>
        <w:t xml:space="preserve"> </w:t>
      </w:r>
      <w:r w:rsidRPr="004356C6">
        <w:rPr>
          <w:lang w:eastAsia="zh-CN"/>
        </w:rPr>
        <w:t>is the effective proportion of immigrants, and</w:t>
      </w:r>
      <w:r w:rsidR="006457A2">
        <w:rPr>
          <w:lang w:eastAsia="zh-CN"/>
        </w:rPr>
        <w:t xml:space="preserve"> </w:t>
      </w:r>
      <w:r w:rsidRPr="004356C6">
        <w:rPr>
          <w:i/>
          <w:iCs/>
          <w:lang w:eastAsia="zh-CN"/>
        </w:rPr>
        <w:t>F</w:t>
      </w:r>
      <w:r w:rsidRPr="004356C6">
        <w:rPr>
          <w:i/>
          <w:iCs/>
          <w:vertAlign w:val="subscript"/>
          <w:lang w:eastAsia="zh-CN"/>
        </w:rPr>
        <w:t>ST</w:t>
      </w:r>
      <w:r w:rsidR="006457A2">
        <w:rPr>
          <w:lang w:eastAsia="zh-CN"/>
        </w:rPr>
        <w:t xml:space="preserve"> </w:t>
      </w:r>
      <w:r w:rsidRPr="004356C6">
        <w:rPr>
          <w:lang w:eastAsia="zh-CN"/>
        </w:rPr>
        <w:t>is the fixation index, which measures variation in allele frequencies among populations. If</w:t>
      </w:r>
      <w:r w:rsidR="006457A2">
        <w:rPr>
          <w:lang w:eastAsia="zh-CN"/>
        </w:rPr>
        <w:t xml:space="preserve"> </w:t>
      </w:r>
      <w:r w:rsidRPr="004356C6">
        <w:rPr>
          <w:i/>
          <w:iCs/>
          <w:lang w:eastAsia="zh-CN"/>
        </w:rPr>
        <w:t>Nm</w:t>
      </w:r>
      <w:r w:rsidR="006457A2">
        <w:rPr>
          <w:lang w:eastAsia="zh-CN"/>
        </w:rPr>
        <w:t xml:space="preserve"> </w:t>
      </w:r>
      <w:r w:rsidRPr="004356C6">
        <w:rPr>
          <w:lang w:eastAsia="zh-CN"/>
        </w:rPr>
        <w:t>&gt; 1, there is enough gene flow to negate the effects of genetic drift, and if</w:t>
      </w:r>
      <w:r w:rsidR="006457A2">
        <w:rPr>
          <w:lang w:eastAsia="zh-CN"/>
        </w:rPr>
        <w:t xml:space="preserve"> </w:t>
      </w:r>
      <w:r w:rsidRPr="004356C6">
        <w:rPr>
          <w:i/>
          <w:iCs/>
          <w:lang w:eastAsia="zh-CN"/>
        </w:rPr>
        <w:t>Nm</w:t>
      </w:r>
      <w:r w:rsidR="006457A2">
        <w:rPr>
          <w:lang w:eastAsia="zh-CN"/>
        </w:rPr>
        <w:t xml:space="preserve"> </w:t>
      </w:r>
      <w:r w:rsidRPr="004356C6">
        <w:rPr>
          <w:lang w:eastAsia="zh-CN"/>
        </w:rPr>
        <w:t>&gt; 4, then local populations belong to one panmictic (randomly mating) population (Wright 1931). We can use the</w:t>
      </w:r>
      <w:r w:rsidR="00AB633C">
        <w:rPr>
          <w:lang w:eastAsia="zh-CN"/>
        </w:rPr>
        <w:t xml:space="preserve"> </w:t>
      </w:r>
      <w:r w:rsidRPr="004356C6">
        <w:rPr>
          <w:i/>
          <w:iCs/>
          <w:lang w:eastAsia="zh-CN"/>
        </w:rPr>
        <w:t>F</w:t>
      </w:r>
      <w:r w:rsidRPr="004356C6">
        <w:rPr>
          <w:i/>
          <w:iCs/>
          <w:vertAlign w:val="subscript"/>
          <w:lang w:eastAsia="zh-CN"/>
        </w:rPr>
        <w:t>ST</w:t>
      </w:r>
      <w:r w:rsidR="00AB633C">
        <w:rPr>
          <w:lang w:eastAsia="zh-CN"/>
        </w:rPr>
        <w:t xml:space="preserve"> </w:t>
      </w:r>
      <w:r w:rsidRPr="004356C6">
        <w:rPr>
          <w:lang w:eastAsia="zh-CN"/>
        </w:rPr>
        <w:t>values in the table below to estimate gene flow based on 14 loci.</w:t>
      </w:r>
    </w:p>
    <w:p w14:paraId="36DF3FB8" w14:textId="77777777" w:rsidR="004356C6" w:rsidRPr="004356C6" w:rsidRDefault="004356C6" w:rsidP="00F47799">
      <w:pPr>
        <w:jc w:val="center"/>
        <w:rPr>
          <w:lang w:eastAsia="zh-CN"/>
        </w:rPr>
      </w:pPr>
      <w:r w:rsidRPr="004356C6">
        <w:rPr>
          <w:b/>
          <w:bCs/>
          <w:lang w:eastAsia="zh-CN"/>
        </w:rPr>
        <w:t>Table 1</w:t>
      </w:r>
    </w:p>
    <w:tbl>
      <w:tblPr>
        <w:tblW w:w="216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100" w:type="dxa"/>
          <w:left w:w="100" w:type="dxa"/>
          <w:bottom w:w="100" w:type="dxa"/>
          <w:right w:w="100" w:type="dxa"/>
        </w:tblCellMar>
        <w:tblLook w:val="04A0" w:firstRow="1" w:lastRow="0" w:firstColumn="1" w:lastColumn="0" w:noHBand="0" w:noVBand="1"/>
      </w:tblPr>
      <w:tblGrid>
        <w:gridCol w:w="1080"/>
        <w:gridCol w:w="1080"/>
      </w:tblGrid>
      <w:tr w:rsidR="004356C6" w:rsidRPr="004356C6" w14:paraId="5DA413D4" w14:textId="77777777" w:rsidTr="00F47799">
        <w:trPr>
          <w:trHeight w:val="400"/>
          <w:tblCellSpacing w:w="15" w:type="dxa"/>
          <w:jc w:val="center"/>
        </w:trPr>
        <w:tc>
          <w:tcPr>
            <w:tcW w:w="2500" w:type="pct"/>
            <w:shd w:val="clear" w:color="auto" w:fill="CCCCCC"/>
            <w:vAlign w:val="center"/>
            <w:hideMark/>
          </w:tcPr>
          <w:p w14:paraId="2D9C3CCD" w14:textId="77777777" w:rsidR="004356C6" w:rsidRPr="004356C6" w:rsidRDefault="004356C6" w:rsidP="00F47799">
            <w:pPr>
              <w:pStyle w:val="TableContent"/>
              <w:rPr>
                <w:lang w:eastAsia="zh-CN"/>
              </w:rPr>
            </w:pPr>
            <w:r w:rsidRPr="004356C6">
              <w:rPr>
                <w:lang w:eastAsia="zh-CN"/>
              </w:rPr>
              <w:lastRenderedPageBreak/>
              <w:t>Locus</w:t>
            </w:r>
          </w:p>
        </w:tc>
        <w:tc>
          <w:tcPr>
            <w:tcW w:w="2500" w:type="pct"/>
            <w:shd w:val="clear" w:color="auto" w:fill="CCCCCC"/>
            <w:vAlign w:val="center"/>
            <w:hideMark/>
          </w:tcPr>
          <w:p w14:paraId="5DD55ED6" w14:textId="77777777" w:rsidR="004356C6" w:rsidRPr="004356C6" w:rsidRDefault="004356C6" w:rsidP="00F47799">
            <w:pPr>
              <w:pStyle w:val="TableContent"/>
              <w:rPr>
                <w:lang w:eastAsia="zh-CN"/>
              </w:rPr>
            </w:pPr>
            <w:r w:rsidRPr="004356C6">
              <w:rPr>
                <w:lang w:eastAsia="zh-CN"/>
              </w:rPr>
              <w:t>F</w:t>
            </w:r>
            <w:r w:rsidRPr="004356C6">
              <w:rPr>
                <w:vertAlign w:val="subscript"/>
                <w:lang w:eastAsia="zh-CN"/>
              </w:rPr>
              <w:t>ST</w:t>
            </w:r>
          </w:p>
        </w:tc>
      </w:tr>
      <w:tr w:rsidR="004356C6" w:rsidRPr="004356C6" w14:paraId="34DE61AB" w14:textId="77777777" w:rsidTr="00F47799">
        <w:trPr>
          <w:tblCellSpacing w:w="15" w:type="dxa"/>
          <w:jc w:val="center"/>
        </w:trPr>
        <w:tc>
          <w:tcPr>
            <w:tcW w:w="2500" w:type="pct"/>
            <w:shd w:val="clear" w:color="auto" w:fill="CCCCCC"/>
            <w:hideMark/>
          </w:tcPr>
          <w:p w14:paraId="7A998EEB" w14:textId="77777777" w:rsidR="004356C6" w:rsidRPr="004356C6" w:rsidRDefault="004356C6" w:rsidP="00F47799">
            <w:pPr>
              <w:pStyle w:val="TableContent"/>
              <w:rPr>
                <w:lang w:eastAsia="zh-CN"/>
              </w:rPr>
            </w:pPr>
            <w:r w:rsidRPr="004356C6">
              <w:rPr>
                <w:lang w:eastAsia="zh-CN"/>
              </w:rPr>
              <w:t>PGI1</w:t>
            </w:r>
          </w:p>
        </w:tc>
        <w:tc>
          <w:tcPr>
            <w:tcW w:w="2500" w:type="pct"/>
            <w:shd w:val="clear" w:color="auto" w:fill="CCCCCC"/>
            <w:hideMark/>
          </w:tcPr>
          <w:p w14:paraId="700CC494" w14:textId="77777777" w:rsidR="004356C6" w:rsidRPr="004356C6" w:rsidRDefault="004356C6" w:rsidP="00F47799">
            <w:pPr>
              <w:pStyle w:val="TableContent"/>
              <w:rPr>
                <w:lang w:eastAsia="zh-CN"/>
              </w:rPr>
            </w:pPr>
            <w:r w:rsidRPr="004356C6">
              <w:rPr>
                <w:lang w:eastAsia="zh-CN"/>
              </w:rPr>
              <w:t>0.020</w:t>
            </w:r>
          </w:p>
        </w:tc>
      </w:tr>
      <w:tr w:rsidR="004356C6" w:rsidRPr="004356C6" w14:paraId="5B8C0E86" w14:textId="77777777" w:rsidTr="00F47799">
        <w:trPr>
          <w:tblCellSpacing w:w="15" w:type="dxa"/>
          <w:jc w:val="center"/>
        </w:trPr>
        <w:tc>
          <w:tcPr>
            <w:tcW w:w="2500" w:type="pct"/>
            <w:shd w:val="clear" w:color="auto" w:fill="CCCCCC"/>
            <w:hideMark/>
          </w:tcPr>
          <w:p w14:paraId="5255B95B" w14:textId="77777777" w:rsidR="004356C6" w:rsidRPr="004356C6" w:rsidRDefault="004356C6" w:rsidP="00F47799">
            <w:pPr>
              <w:pStyle w:val="TableContent"/>
              <w:rPr>
                <w:lang w:eastAsia="zh-CN"/>
              </w:rPr>
            </w:pPr>
            <w:r w:rsidRPr="004356C6">
              <w:rPr>
                <w:lang w:eastAsia="zh-CN"/>
              </w:rPr>
              <w:t>PGM1</w:t>
            </w:r>
          </w:p>
        </w:tc>
        <w:tc>
          <w:tcPr>
            <w:tcW w:w="2500" w:type="pct"/>
            <w:shd w:val="clear" w:color="auto" w:fill="CCCCCC"/>
            <w:hideMark/>
          </w:tcPr>
          <w:p w14:paraId="3DB4C8E7" w14:textId="77777777" w:rsidR="004356C6" w:rsidRPr="004356C6" w:rsidRDefault="004356C6" w:rsidP="00F47799">
            <w:pPr>
              <w:pStyle w:val="TableContent"/>
              <w:rPr>
                <w:lang w:eastAsia="zh-CN"/>
              </w:rPr>
            </w:pPr>
            <w:r w:rsidRPr="004356C6">
              <w:rPr>
                <w:lang w:eastAsia="zh-CN"/>
              </w:rPr>
              <w:t>0.023</w:t>
            </w:r>
          </w:p>
        </w:tc>
      </w:tr>
      <w:tr w:rsidR="004356C6" w:rsidRPr="004356C6" w14:paraId="670F5BC0" w14:textId="77777777" w:rsidTr="00F47799">
        <w:trPr>
          <w:tblCellSpacing w:w="15" w:type="dxa"/>
          <w:jc w:val="center"/>
        </w:trPr>
        <w:tc>
          <w:tcPr>
            <w:tcW w:w="2500" w:type="pct"/>
            <w:shd w:val="clear" w:color="auto" w:fill="CCCCCC"/>
            <w:hideMark/>
          </w:tcPr>
          <w:p w14:paraId="271604E5" w14:textId="77777777" w:rsidR="004356C6" w:rsidRPr="004356C6" w:rsidRDefault="004356C6" w:rsidP="00F47799">
            <w:pPr>
              <w:pStyle w:val="TableContent"/>
              <w:rPr>
                <w:lang w:eastAsia="zh-CN"/>
              </w:rPr>
            </w:pPr>
            <w:r w:rsidRPr="004356C6">
              <w:rPr>
                <w:lang w:eastAsia="zh-CN"/>
              </w:rPr>
              <w:t>EST1</w:t>
            </w:r>
          </w:p>
        </w:tc>
        <w:tc>
          <w:tcPr>
            <w:tcW w:w="2500" w:type="pct"/>
            <w:shd w:val="clear" w:color="auto" w:fill="CCCCCC"/>
            <w:hideMark/>
          </w:tcPr>
          <w:p w14:paraId="12C69358" w14:textId="77777777" w:rsidR="004356C6" w:rsidRPr="004356C6" w:rsidRDefault="004356C6" w:rsidP="00F47799">
            <w:pPr>
              <w:pStyle w:val="TableContent"/>
              <w:rPr>
                <w:lang w:eastAsia="zh-CN"/>
              </w:rPr>
            </w:pPr>
            <w:r w:rsidRPr="004356C6">
              <w:rPr>
                <w:lang w:eastAsia="zh-CN"/>
              </w:rPr>
              <w:t>0.021</w:t>
            </w:r>
          </w:p>
        </w:tc>
      </w:tr>
      <w:tr w:rsidR="004356C6" w:rsidRPr="004356C6" w14:paraId="79751EAA" w14:textId="77777777" w:rsidTr="00F47799">
        <w:trPr>
          <w:tblCellSpacing w:w="15" w:type="dxa"/>
          <w:jc w:val="center"/>
        </w:trPr>
        <w:tc>
          <w:tcPr>
            <w:tcW w:w="2500" w:type="pct"/>
            <w:shd w:val="clear" w:color="auto" w:fill="CCCCCC"/>
            <w:hideMark/>
          </w:tcPr>
          <w:p w14:paraId="533FCB36" w14:textId="77777777" w:rsidR="004356C6" w:rsidRPr="004356C6" w:rsidRDefault="004356C6" w:rsidP="00F47799">
            <w:pPr>
              <w:pStyle w:val="TableContent"/>
              <w:rPr>
                <w:lang w:eastAsia="zh-CN"/>
              </w:rPr>
            </w:pPr>
            <w:r w:rsidRPr="004356C6">
              <w:rPr>
                <w:lang w:eastAsia="zh-CN"/>
              </w:rPr>
              <w:t>MDH2</w:t>
            </w:r>
          </w:p>
        </w:tc>
        <w:tc>
          <w:tcPr>
            <w:tcW w:w="2500" w:type="pct"/>
            <w:shd w:val="clear" w:color="auto" w:fill="CCCCCC"/>
            <w:hideMark/>
          </w:tcPr>
          <w:p w14:paraId="5163B720" w14:textId="77777777" w:rsidR="004356C6" w:rsidRPr="004356C6" w:rsidRDefault="004356C6" w:rsidP="00F47799">
            <w:pPr>
              <w:pStyle w:val="TableContent"/>
              <w:rPr>
                <w:lang w:eastAsia="zh-CN"/>
              </w:rPr>
            </w:pPr>
            <w:r w:rsidRPr="004356C6">
              <w:rPr>
                <w:lang w:eastAsia="zh-CN"/>
              </w:rPr>
              <w:t>0.032</w:t>
            </w:r>
          </w:p>
        </w:tc>
      </w:tr>
      <w:tr w:rsidR="004356C6" w:rsidRPr="004356C6" w14:paraId="3DC710CD" w14:textId="77777777" w:rsidTr="00F47799">
        <w:trPr>
          <w:tblCellSpacing w:w="15" w:type="dxa"/>
          <w:jc w:val="center"/>
        </w:trPr>
        <w:tc>
          <w:tcPr>
            <w:tcW w:w="2500" w:type="pct"/>
            <w:shd w:val="clear" w:color="auto" w:fill="CCCCCC"/>
            <w:hideMark/>
          </w:tcPr>
          <w:p w14:paraId="1D264A02" w14:textId="77777777" w:rsidR="004356C6" w:rsidRPr="004356C6" w:rsidRDefault="004356C6" w:rsidP="00F47799">
            <w:pPr>
              <w:pStyle w:val="TableContent"/>
              <w:rPr>
                <w:lang w:eastAsia="zh-CN"/>
              </w:rPr>
            </w:pPr>
            <w:r w:rsidRPr="004356C6">
              <w:rPr>
                <w:lang w:eastAsia="zh-CN"/>
              </w:rPr>
              <w:t>IDH1</w:t>
            </w:r>
          </w:p>
        </w:tc>
        <w:tc>
          <w:tcPr>
            <w:tcW w:w="2500" w:type="pct"/>
            <w:shd w:val="clear" w:color="auto" w:fill="CCCCCC"/>
            <w:hideMark/>
          </w:tcPr>
          <w:p w14:paraId="60F1F814" w14:textId="77777777" w:rsidR="004356C6" w:rsidRPr="004356C6" w:rsidRDefault="004356C6" w:rsidP="00F47799">
            <w:pPr>
              <w:pStyle w:val="TableContent"/>
              <w:rPr>
                <w:lang w:eastAsia="zh-CN"/>
              </w:rPr>
            </w:pPr>
            <w:r w:rsidRPr="004356C6">
              <w:rPr>
                <w:lang w:eastAsia="zh-CN"/>
              </w:rPr>
              <w:t>0.019</w:t>
            </w:r>
          </w:p>
        </w:tc>
      </w:tr>
      <w:tr w:rsidR="004356C6" w:rsidRPr="004356C6" w14:paraId="67C68EE5" w14:textId="77777777" w:rsidTr="00F47799">
        <w:trPr>
          <w:tblCellSpacing w:w="15" w:type="dxa"/>
          <w:jc w:val="center"/>
        </w:trPr>
        <w:tc>
          <w:tcPr>
            <w:tcW w:w="2500" w:type="pct"/>
            <w:shd w:val="clear" w:color="auto" w:fill="CCCCCC"/>
            <w:hideMark/>
          </w:tcPr>
          <w:p w14:paraId="18DC53C7" w14:textId="77777777" w:rsidR="004356C6" w:rsidRPr="004356C6" w:rsidRDefault="004356C6" w:rsidP="00F47799">
            <w:pPr>
              <w:pStyle w:val="TableContent"/>
              <w:rPr>
                <w:lang w:eastAsia="zh-CN"/>
              </w:rPr>
            </w:pPr>
            <w:r w:rsidRPr="004356C6">
              <w:rPr>
                <w:lang w:eastAsia="zh-CN"/>
              </w:rPr>
              <w:t>GOT2</w:t>
            </w:r>
          </w:p>
        </w:tc>
        <w:tc>
          <w:tcPr>
            <w:tcW w:w="2500" w:type="pct"/>
            <w:shd w:val="clear" w:color="auto" w:fill="CCCCCC"/>
            <w:hideMark/>
          </w:tcPr>
          <w:p w14:paraId="5786C1D3" w14:textId="77777777" w:rsidR="004356C6" w:rsidRPr="004356C6" w:rsidRDefault="004356C6" w:rsidP="00F47799">
            <w:pPr>
              <w:pStyle w:val="TableContent"/>
              <w:rPr>
                <w:lang w:eastAsia="zh-CN"/>
              </w:rPr>
            </w:pPr>
            <w:r w:rsidRPr="004356C6">
              <w:rPr>
                <w:lang w:eastAsia="zh-CN"/>
              </w:rPr>
              <w:t>0.031</w:t>
            </w:r>
          </w:p>
        </w:tc>
      </w:tr>
      <w:tr w:rsidR="004356C6" w:rsidRPr="004356C6" w14:paraId="7E770537" w14:textId="77777777" w:rsidTr="00F47799">
        <w:trPr>
          <w:tblCellSpacing w:w="15" w:type="dxa"/>
          <w:jc w:val="center"/>
        </w:trPr>
        <w:tc>
          <w:tcPr>
            <w:tcW w:w="2500" w:type="pct"/>
            <w:shd w:val="clear" w:color="auto" w:fill="CCCCCC"/>
            <w:hideMark/>
          </w:tcPr>
          <w:p w14:paraId="4764DFD3" w14:textId="77777777" w:rsidR="004356C6" w:rsidRPr="004356C6" w:rsidRDefault="004356C6" w:rsidP="00F47799">
            <w:pPr>
              <w:pStyle w:val="TableContent"/>
              <w:rPr>
                <w:lang w:eastAsia="zh-CN"/>
              </w:rPr>
            </w:pPr>
            <w:r w:rsidRPr="004356C6">
              <w:rPr>
                <w:rFonts w:ascii="Symbol" w:hAnsi="Symbol"/>
                <w:lang w:eastAsia="zh-CN"/>
              </w:rPr>
              <w:t></w:t>
            </w:r>
            <w:r w:rsidRPr="004356C6">
              <w:rPr>
                <w:lang w:eastAsia="zh-CN"/>
              </w:rPr>
              <w:t>GPD1</w:t>
            </w:r>
          </w:p>
        </w:tc>
        <w:tc>
          <w:tcPr>
            <w:tcW w:w="2500" w:type="pct"/>
            <w:shd w:val="clear" w:color="auto" w:fill="CCCCCC"/>
            <w:hideMark/>
          </w:tcPr>
          <w:p w14:paraId="03EB8C6E" w14:textId="77777777" w:rsidR="004356C6" w:rsidRPr="004356C6" w:rsidRDefault="004356C6" w:rsidP="00F47799">
            <w:pPr>
              <w:pStyle w:val="TableContent"/>
              <w:rPr>
                <w:lang w:eastAsia="zh-CN"/>
              </w:rPr>
            </w:pPr>
            <w:r w:rsidRPr="004356C6">
              <w:rPr>
                <w:lang w:eastAsia="zh-CN"/>
              </w:rPr>
              <w:t>0.029</w:t>
            </w:r>
          </w:p>
        </w:tc>
      </w:tr>
      <w:tr w:rsidR="004356C6" w:rsidRPr="004356C6" w14:paraId="6B04D3D4" w14:textId="77777777" w:rsidTr="00F47799">
        <w:trPr>
          <w:tblCellSpacing w:w="15" w:type="dxa"/>
          <w:jc w:val="center"/>
        </w:trPr>
        <w:tc>
          <w:tcPr>
            <w:tcW w:w="2500" w:type="pct"/>
            <w:shd w:val="clear" w:color="auto" w:fill="CCCCCC"/>
            <w:hideMark/>
          </w:tcPr>
          <w:p w14:paraId="37100418" w14:textId="77777777" w:rsidR="004356C6" w:rsidRPr="004356C6" w:rsidRDefault="004356C6" w:rsidP="00F47799">
            <w:pPr>
              <w:pStyle w:val="TableContent"/>
              <w:rPr>
                <w:lang w:eastAsia="zh-CN"/>
              </w:rPr>
            </w:pPr>
            <w:r w:rsidRPr="004356C6">
              <w:rPr>
                <w:lang w:eastAsia="zh-CN"/>
              </w:rPr>
              <w:t>SOD1</w:t>
            </w:r>
          </w:p>
        </w:tc>
        <w:tc>
          <w:tcPr>
            <w:tcW w:w="2500" w:type="pct"/>
            <w:shd w:val="clear" w:color="auto" w:fill="CCCCCC"/>
            <w:hideMark/>
          </w:tcPr>
          <w:p w14:paraId="7C79E2F5" w14:textId="77777777" w:rsidR="004356C6" w:rsidRPr="004356C6" w:rsidRDefault="004356C6" w:rsidP="00F47799">
            <w:pPr>
              <w:pStyle w:val="TableContent"/>
              <w:rPr>
                <w:lang w:eastAsia="zh-CN"/>
              </w:rPr>
            </w:pPr>
            <w:r w:rsidRPr="004356C6">
              <w:rPr>
                <w:lang w:eastAsia="zh-CN"/>
              </w:rPr>
              <w:t>0.145</w:t>
            </w:r>
          </w:p>
        </w:tc>
      </w:tr>
      <w:tr w:rsidR="004356C6" w:rsidRPr="004356C6" w14:paraId="6B646462" w14:textId="77777777" w:rsidTr="00F47799">
        <w:trPr>
          <w:tblCellSpacing w:w="15" w:type="dxa"/>
          <w:jc w:val="center"/>
        </w:trPr>
        <w:tc>
          <w:tcPr>
            <w:tcW w:w="2500" w:type="pct"/>
            <w:shd w:val="clear" w:color="auto" w:fill="CCCCCC"/>
            <w:hideMark/>
          </w:tcPr>
          <w:p w14:paraId="333F4B8D" w14:textId="77777777" w:rsidR="004356C6" w:rsidRPr="004356C6" w:rsidRDefault="004356C6" w:rsidP="00F47799">
            <w:pPr>
              <w:pStyle w:val="TableContent"/>
              <w:rPr>
                <w:lang w:eastAsia="zh-CN"/>
              </w:rPr>
            </w:pPr>
            <w:r w:rsidRPr="004356C6">
              <w:rPr>
                <w:lang w:eastAsia="zh-CN"/>
              </w:rPr>
              <w:t>LDH1</w:t>
            </w:r>
          </w:p>
        </w:tc>
        <w:tc>
          <w:tcPr>
            <w:tcW w:w="2500" w:type="pct"/>
            <w:shd w:val="clear" w:color="auto" w:fill="CCCCCC"/>
            <w:hideMark/>
          </w:tcPr>
          <w:p w14:paraId="1E422A7B" w14:textId="77777777" w:rsidR="004356C6" w:rsidRPr="004356C6" w:rsidRDefault="004356C6" w:rsidP="00F47799">
            <w:pPr>
              <w:pStyle w:val="TableContent"/>
              <w:rPr>
                <w:lang w:eastAsia="zh-CN"/>
              </w:rPr>
            </w:pPr>
            <w:r w:rsidRPr="004356C6">
              <w:rPr>
                <w:lang w:eastAsia="zh-CN"/>
              </w:rPr>
              <w:t>0.012</w:t>
            </w:r>
          </w:p>
        </w:tc>
      </w:tr>
      <w:tr w:rsidR="004356C6" w:rsidRPr="004356C6" w14:paraId="611608E1" w14:textId="77777777" w:rsidTr="00F47799">
        <w:trPr>
          <w:tblCellSpacing w:w="15" w:type="dxa"/>
          <w:jc w:val="center"/>
        </w:trPr>
        <w:tc>
          <w:tcPr>
            <w:tcW w:w="2500" w:type="pct"/>
            <w:shd w:val="clear" w:color="auto" w:fill="CCCCCC"/>
            <w:hideMark/>
          </w:tcPr>
          <w:p w14:paraId="056BEA2F" w14:textId="77777777" w:rsidR="004356C6" w:rsidRPr="004356C6" w:rsidRDefault="004356C6" w:rsidP="00F47799">
            <w:pPr>
              <w:pStyle w:val="TableContent"/>
              <w:rPr>
                <w:lang w:eastAsia="zh-CN"/>
              </w:rPr>
            </w:pPr>
            <w:r w:rsidRPr="004356C6">
              <w:rPr>
                <w:lang w:eastAsia="zh-CN"/>
              </w:rPr>
              <w:t>MDH1</w:t>
            </w:r>
          </w:p>
        </w:tc>
        <w:tc>
          <w:tcPr>
            <w:tcW w:w="2500" w:type="pct"/>
            <w:shd w:val="clear" w:color="auto" w:fill="CCCCCC"/>
            <w:hideMark/>
          </w:tcPr>
          <w:p w14:paraId="1803B3D1" w14:textId="77777777" w:rsidR="004356C6" w:rsidRPr="004356C6" w:rsidRDefault="004356C6" w:rsidP="00F47799">
            <w:pPr>
              <w:pStyle w:val="TableContent"/>
              <w:rPr>
                <w:lang w:eastAsia="zh-CN"/>
              </w:rPr>
            </w:pPr>
            <w:r w:rsidRPr="004356C6">
              <w:rPr>
                <w:lang w:eastAsia="zh-CN"/>
              </w:rPr>
              <w:t>0.141</w:t>
            </w:r>
          </w:p>
        </w:tc>
      </w:tr>
      <w:tr w:rsidR="004356C6" w:rsidRPr="004356C6" w14:paraId="672E3814" w14:textId="77777777" w:rsidTr="00F47799">
        <w:trPr>
          <w:tblCellSpacing w:w="15" w:type="dxa"/>
          <w:jc w:val="center"/>
        </w:trPr>
        <w:tc>
          <w:tcPr>
            <w:tcW w:w="2500" w:type="pct"/>
            <w:shd w:val="clear" w:color="auto" w:fill="CCCCCC"/>
            <w:hideMark/>
          </w:tcPr>
          <w:p w14:paraId="255F832C" w14:textId="77777777" w:rsidR="004356C6" w:rsidRPr="004356C6" w:rsidRDefault="004356C6" w:rsidP="00F47799">
            <w:pPr>
              <w:pStyle w:val="TableContent"/>
              <w:rPr>
                <w:lang w:eastAsia="zh-CN"/>
              </w:rPr>
            </w:pPr>
            <w:r w:rsidRPr="004356C6">
              <w:rPr>
                <w:lang w:eastAsia="zh-CN"/>
              </w:rPr>
              <w:t>GAM1</w:t>
            </w:r>
          </w:p>
        </w:tc>
        <w:tc>
          <w:tcPr>
            <w:tcW w:w="2500" w:type="pct"/>
            <w:shd w:val="clear" w:color="auto" w:fill="CCCCCC"/>
            <w:hideMark/>
          </w:tcPr>
          <w:p w14:paraId="5C37E3E2" w14:textId="77777777" w:rsidR="004356C6" w:rsidRPr="004356C6" w:rsidRDefault="004356C6" w:rsidP="00F47799">
            <w:pPr>
              <w:pStyle w:val="TableContent"/>
              <w:rPr>
                <w:lang w:eastAsia="zh-CN"/>
              </w:rPr>
            </w:pPr>
            <w:r w:rsidRPr="004356C6">
              <w:rPr>
                <w:lang w:eastAsia="zh-CN"/>
              </w:rPr>
              <w:t>0.063</w:t>
            </w:r>
          </w:p>
        </w:tc>
      </w:tr>
      <w:tr w:rsidR="004356C6" w:rsidRPr="004356C6" w14:paraId="7DC1A71E" w14:textId="77777777" w:rsidTr="00F47799">
        <w:trPr>
          <w:tblCellSpacing w:w="15" w:type="dxa"/>
          <w:jc w:val="center"/>
        </w:trPr>
        <w:tc>
          <w:tcPr>
            <w:tcW w:w="2500" w:type="pct"/>
            <w:shd w:val="clear" w:color="auto" w:fill="CCCCCC"/>
            <w:hideMark/>
          </w:tcPr>
          <w:p w14:paraId="732A5571" w14:textId="77777777" w:rsidR="004356C6" w:rsidRPr="004356C6" w:rsidRDefault="004356C6" w:rsidP="00F47799">
            <w:pPr>
              <w:pStyle w:val="TableContent"/>
              <w:rPr>
                <w:lang w:eastAsia="zh-CN"/>
              </w:rPr>
            </w:pPr>
            <w:r w:rsidRPr="004356C6">
              <w:rPr>
                <w:lang w:eastAsia="zh-CN"/>
              </w:rPr>
              <w:t>HEX1</w:t>
            </w:r>
          </w:p>
        </w:tc>
        <w:tc>
          <w:tcPr>
            <w:tcW w:w="2500" w:type="pct"/>
            <w:shd w:val="clear" w:color="auto" w:fill="CCCCCC"/>
            <w:hideMark/>
          </w:tcPr>
          <w:p w14:paraId="3A1CCBC2" w14:textId="77777777" w:rsidR="004356C6" w:rsidRPr="004356C6" w:rsidRDefault="004356C6" w:rsidP="00F47799">
            <w:pPr>
              <w:pStyle w:val="TableContent"/>
              <w:rPr>
                <w:lang w:eastAsia="zh-CN"/>
              </w:rPr>
            </w:pPr>
            <w:r w:rsidRPr="004356C6">
              <w:rPr>
                <w:lang w:eastAsia="zh-CN"/>
              </w:rPr>
              <w:t>0.034</w:t>
            </w:r>
          </w:p>
        </w:tc>
      </w:tr>
      <w:tr w:rsidR="004356C6" w:rsidRPr="004356C6" w14:paraId="5FE41091" w14:textId="77777777" w:rsidTr="00F47799">
        <w:trPr>
          <w:tblCellSpacing w:w="15" w:type="dxa"/>
          <w:jc w:val="center"/>
        </w:trPr>
        <w:tc>
          <w:tcPr>
            <w:tcW w:w="2500" w:type="pct"/>
            <w:shd w:val="clear" w:color="auto" w:fill="CCCCCC"/>
            <w:hideMark/>
          </w:tcPr>
          <w:p w14:paraId="09351B58" w14:textId="77777777" w:rsidR="004356C6" w:rsidRPr="004356C6" w:rsidRDefault="004356C6" w:rsidP="00F47799">
            <w:pPr>
              <w:pStyle w:val="TableContent"/>
              <w:rPr>
                <w:lang w:eastAsia="zh-CN"/>
              </w:rPr>
            </w:pPr>
            <w:r w:rsidRPr="004356C6">
              <w:rPr>
                <w:lang w:eastAsia="zh-CN"/>
              </w:rPr>
              <w:t>GOT1</w:t>
            </w:r>
          </w:p>
        </w:tc>
        <w:tc>
          <w:tcPr>
            <w:tcW w:w="2500" w:type="pct"/>
            <w:shd w:val="clear" w:color="auto" w:fill="CCCCCC"/>
            <w:hideMark/>
          </w:tcPr>
          <w:p w14:paraId="5566B2BE" w14:textId="77777777" w:rsidR="004356C6" w:rsidRPr="004356C6" w:rsidRDefault="004356C6" w:rsidP="00F47799">
            <w:pPr>
              <w:pStyle w:val="TableContent"/>
              <w:rPr>
                <w:lang w:eastAsia="zh-CN"/>
              </w:rPr>
            </w:pPr>
            <w:r w:rsidRPr="004356C6">
              <w:rPr>
                <w:lang w:eastAsia="zh-CN"/>
              </w:rPr>
              <w:t>0.033</w:t>
            </w:r>
          </w:p>
        </w:tc>
      </w:tr>
      <w:tr w:rsidR="004356C6" w:rsidRPr="004356C6" w14:paraId="7CBB393E" w14:textId="77777777" w:rsidTr="00F47799">
        <w:trPr>
          <w:tblCellSpacing w:w="15" w:type="dxa"/>
          <w:jc w:val="center"/>
        </w:trPr>
        <w:tc>
          <w:tcPr>
            <w:tcW w:w="2500" w:type="pct"/>
            <w:shd w:val="clear" w:color="auto" w:fill="CCCCCC"/>
            <w:hideMark/>
          </w:tcPr>
          <w:p w14:paraId="4B5C79F2" w14:textId="77777777" w:rsidR="004356C6" w:rsidRPr="004356C6" w:rsidRDefault="004356C6" w:rsidP="00F47799">
            <w:pPr>
              <w:pStyle w:val="TableContent"/>
              <w:rPr>
                <w:lang w:eastAsia="zh-CN"/>
              </w:rPr>
            </w:pPr>
            <w:r w:rsidRPr="004356C6">
              <w:rPr>
                <w:lang w:eastAsia="zh-CN"/>
              </w:rPr>
              <w:t>FUM2</w:t>
            </w:r>
          </w:p>
        </w:tc>
        <w:tc>
          <w:tcPr>
            <w:tcW w:w="2500" w:type="pct"/>
            <w:shd w:val="clear" w:color="auto" w:fill="CCCCCC"/>
            <w:hideMark/>
          </w:tcPr>
          <w:p w14:paraId="35BF08A4" w14:textId="77777777" w:rsidR="004356C6" w:rsidRPr="004356C6" w:rsidRDefault="004356C6" w:rsidP="00F47799">
            <w:pPr>
              <w:pStyle w:val="TableContent"/>
              <w:rPr>
                <w:lang w:eastAsia="zh-CN"/>
              </w:rPr>
            </w:pPr>
            <w:r w:rsidRPr="004356C6">
              <w:rPr>
                <w:lang w:eastAsia="zh-CN"/>
              </w:rPr>
              <w:t>0.129</w:t>
            </w:r>
          </w:p>
        </w:tc>
      </w:tr>
      <w:tr w:rsidR="004356C6" w:rsidRPr="004356C6" w14:paraId="33B27231" w14:textId="77777777" w:rsidTr="00F47799">
        <w:trPr>
          <w:tblCellSpacing w:w="15" w:type="dxa"/>
          <w:jc w:val="center"/>
        </w:trPr>
        <w:tc>
          <w:tcPr>
            <w:tcW w:w="2500" w:type="pct"/>
            <w:shd w:val="clear" w:color="auto" w:fill="CCCCCC"/>
            <w:hideMark/>
          </w:tcPr>
          <w:p w14:paraId="358FEC2C" w14:textId="77777777" w:rsidR="004356C6" w:rsidRPr="004356C6" w:rsidRDefault="004356C6" w:rsidP="00F47799">
            <w:pPr>
              <w:pStyle w:val="TableContent"/>
              <w:rPr>
                <w:lang w:eastAsia="zh-CN"/>
              </w:rPr>
            </w:pPr>
            <w:r w:rsidRPr="004356C6">
              <w:rPr>
                <w:lang w:eastAsia="zh-CN"/>
              </w:rPr>
              <w:t>Mean</w:t>
            </w:r>
          </w:p>
        </w:tc>
        <w:tc>
          <w:tcPr>
            <w:tcW w:w="2500" w:type="pct"/>
            <w:shd w:val="clear" w:color="auto" w:fill="CCCCCC"/>
            <w:hideMark/>
          </w:tcPr>
          <w:p w14:paraId="6D641625" w14:textId="77777777" w:rsidR="004356C6" w:rsidRPr="004356C6" w:rsidRDefault="004356C6" w:rsidP="00F47799">
            <w:pPr>
              <w:pStyle w:val="TableContent"/>
              <w:rPr>
                <w:lang w:eastAsia="zh-CN"/>
              </w:rPr>
            </w:pPr>
            <w:r w:rsidRPr="004356C6">
              <w:rPr>
                <w:lang w:eastAsia="zh-CN"/>
              </w:rPr>
              <w:t>0.048</w:t>
            </w:r>
          </w:p>
        </w:tc>
      </w:tr>
    </w:tbl>
    <w:p w14:paraId="5FD3993E" w14:textId="77777777" w:rsidR="004356C6" w:rsidRPr="004356C6" w:rsidRDefault="004356C6" w:rsidP="004356C6">
      <w:pPr>
        <w:rPr>
          <w:color w:val="auto"/>
          <w:sz w:val="24"/>
          <w:szCs w:val="24"/>
          <w:lang w:eastAsia="zh-CN"/>
        </w:rPr>
      </w:pPr>
    </w:p>
    <w:p w14:paraId="53AAB863" w14:textId="77777777" w:rsidR="004356C6" w:rsidRDefault="004356C6" w:rsidP="004356C6">
      <w:pPr>
        <w:rPr>
          <w:lang w:eastAsia="zh-CN"/>
        </w:rPr>
      </w:pPr>
      <w:r w:rsidRPr="004356C6">
        <w:rPr>
          <w:lang w:eastAsia="zh-CN"/>
        </w:rPr>
        <w:t>For the mean of all the loci,</w:t>
      </w:r>
      <w:r w:rsidR="008B0F21">
        <w:rPr>
          <w:lang w:eastAsia="zh-CN"/>
        </w:rPr>
        <w:t xml:space="preserve"> </w:t>
      </w:r>
      <w:r w:rsidRPr="004356C6">
        <w:rPr>
          <w:i/>
          <w:iCs/>
          <w:lang w:eastAsia="zh-CN"/>
        </w:rPr>
        <w:t>F</w:t>
      </w:r>
      <w:r w:rsidRPr="004356C6">
        <w:rPr>
          <w:i/>
          <w:iCs/>
          <w:vertAlign w:val="subscript"/>
          <w:lang w:eastAsia="zh-CN"/>
        </w:rPr>
        <w:t>ST</w:t>
      </w:r>
      <w:r w:rsidR="008B0F21">
        <w:rPr>
          <w:lang w:eastAsia="zh-CN"/>
        </w:rPr>
        <w:t xml:space="preserve"> </w:t>
      </w:r>
      <w:r w:rsidRPr="004356C6">
        <w:rPr>
          <w:lang w:eastAsia="zh-CN"/>
        </w:rPr>
        <w:t>= 0.048. Plugging that value into our equation, we 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A2565" w14:paraId="521A6FC8" w14:textId="77777777" w:rsidTr="003545F2">
        <w:tc>
          <w:tcPr>
            <w:tcW w:w="4675" w:type="dxa"/>
            <w:vAlign w:val="center"/>
          </w:tcPr>
          <w:p w14:paraId="57709823" w14:textId="77777777" w:rsidR="00BA2565" w:rsidRDefault="00BA2565" w:rsidP="003545F2">
            <w:pPr>
              <w:rPr>
                <w:lang w:eastAsia="zh-CN"/>
              </w:rPr>
            </w:pPr>
            <m:oMathPara>
              <m:oMath>
                <m:r>
                  <w:rPr>
                    <w:rFonts w:ascii="Cambria Math" w:hAnsi="Cambria Math"/>
                    <w:lang w:eastAsia="zh-CN"/>
                  </w:rPr>
                  <m:t>N</m:t>
                </m:r>
                <m:sSub>
                  <m:sSubPr>
                    <m:ctrlPr>
                      <w:rPr>
                        <w:rFonts w:ascii="Cambria Math" w:hAnsi="Cambria Math"/>
                        <w:i/>
                        <w:lang w:eastAsia="zh-CN"/>
                      </w:rPr>
                    </m:ctrlPr>
                  </m:sSubPr>
                  <m:e>
                    <m:r>
                      <w:rPr>
                        <w:rFonts w:ascii="Cambria Math" w:hAnsi="Cambria Math"/>
                        <w:lang w:eastAsia="zh-CN"/>
                      </w:rPr>
                      <m:t>m</m:t>
                    </m:r>
                  </m:e>
                  <m:sub>
                    <m:r>
                      <w:rPr>
                        <w:rFonts w:ascii="Cambria Math" w:hAnsi="Cambria Math"/>
                        <w:lang w:eastAsia="zh-CN"/>
                      </w:rPr>
                      <m:t>est</m:t>
                    </m:r>
                  </m:sub>
                </m:sSub>
                <m:r>
                  <w:rPr>
                    <w:rFonts w:ascii="Cambria Math" w:hAnsi="Cambria Math"/>
                    <w:lang w:eastAsia="zh-CN"/>
                  </w:rPr>
                  <m:t>=</m:t>
                </m:r>
                <m:f>
                  <m:fPr>
                    <m:ctrlPr>
                      <w:rPr>
                        <w:rFonts w:ascii="Cambria Math" w:hAnsi="Cambria Math"/>
                        <w:i/>
                        <w:lang w:eastAsia="zh-CN"/>
                      </w:rPr>
                    </m:ctrlPr>
                  </m:fPr>
                  <m:num>
                    <m:d>
                      <m:dPr>
                        <m:ctrlPr>
                          <w:rPr>
                            <w:rFonts w:ascii="Cambria Math" w:hAnsi="Cambria Math"/>
                            <w:i/>
                            <w:lang w:eastAsia="zh-CN"/>
                          </w:rPr>
                        </m:ctrlPr>
                      </m:dPr>
                      <m:e>
                        <m:f>
                          <m:fPr>
                            <m:type m:val="lin"/>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0.048-1</m:t>
                            </m:r>
                          </m:den>
                        </m:f>
                      </m:e>
                    </m:d>
                  </m:num>
                  <m:den>
                    <m:r>
                      <w:rPr>
                        <w:rFonts w:ascii="Cambria Math" w:hAnsi="Cambria Math"/>
                        <w:lang w:eastAsia="zh-CN"/>
                      </w:rPr>
                      <m:t>4</m:t>
                    </m:r>
                  </m:den>
                </m:f>
                <m:r>
                  <w:rPr>
                    <w:rFonts w:ascii="Cambria Math" w:hAnsi="Cambria Math"/>
                    <w:lang w:eastAsia="zh-CN"/>
                  </w:rPr>
                  <m:t>=4.96</m:t>
                </m:r>
              </m:oMath>
            </m:oMathPara>
          </w:p>
        </w:tc>
        <w:tc>
          <w:tcPr>
            <w:tcW w:w="4675" w:type="dxa"/>
            <w:vAlign w:val="center"/>
          </w:tcPr>
          <w:p w14:paraId="15895F51" w14:textId="77777777" w:rsidR="00BA2565" w:rsidRDefault="00BA2565" w:rsidP="003545F2">
            <w:pPr>
              <w:rPr>
                <w:lang w:eastAsia="zh-CN"/>
              </w:rPr>
            </w:pPr>
            <w:r>
              <w:rPr>
                <w:lang w:eastAsia="zh-CN"/>
              </w:rPr>
              <w:t xml:space="preserve">LaTeX Code: </w:t>
            </w:r>
            <w:proofErr w:type="gramStart"/>
            <w:r>
              <w:rPr>
                <w:lang w:eastAsia="zh-CN"/>
              </w:rPr>
              <w:t>\[</w:t>
            </w:r>
            <w:proofErr w:type="gramEnd"/>
            <w:r>
              <w:rPr>
                <w:lang w:eastAsia="zh-CN"/>
              </w:rPr>
              <w:t xml:space="preserve"> Nm_{</w:t>
            </w:r>
            <w:proofErr w:type="spellStart"/>
            <w:r>
              <w:rPr>
                <w:lang w:eastAsia="zh-CN"/>
              </w:rPr>
              <w:t>est</w:t>
            </w:r>
            <w:proofErr w:type="spellEnd"/>
            <w:r>
              <w:rPr>
                <w:lang w:eastAsia="zh-CN"/>
              </w:rPr>
              <w:t>} = \frac{(1 / 0.048 - 1)}{4} = 4.96\]</w:t>
            </w:r>
          </w:p>
        </w:tc>
      </w:tr>
    </w:tbl>
    <w:p w14:paraId="5B3F1ED3" w14:textId="77777777" w:rsidR="004356C6" w:rsidRDefault="004356C6" w:rsidP="004356C6">
      <w:pPr>
        <w:rPr>
          <w:lang w:eastAsia="zh-CN"/>
        </w:rPr>
      </w:pPr>
      <w:r w:rsidRPr="004356C6">
        <w:rPr>
          <w:lang w:eastAsia="zh-CN"/>
        </w:rPr>
        <w:t>Another approach to estimating gene flow involves using the average allele frequency of alleles unique to one population, across loci (</w:t>
      </w:r>
      <w:proofErr w:type="gramStart"/>
      <w:r w:rsidRPr="004356C6">
        <w:rPr>
          <w:i/>
          <w:iCs/>
          <w:lang w:eastAsia="zh-CN"/>
        </w:rPr>
        <w:t>p</w:t>
      </w:r>
      <w:r w:rsidRPr="004356C6">
        <w:rPr>
          <w:lang w:eastAsia="zh-CN"/>
        </w:rPr>
        <w:t>(</w:t>
      </w:r>
      <w:proofErr w:type="gramEnd"/>
      <w:r w:rsidRPr="004356C6">
        <w:rPr>
          <w:lang w:eastAsia="zh-CN"/>
        </w:rPr>
        <w:t>1), or private alleles). In the equation below,</w:t>
      </w:r>
      <w:r w:rsidR="00A67C31">
        <w:rPr>
          <w:lang w:eastAsia="zh-CN"/>
        </w:rPr>
        <w:t xml:space="preserve"> </w:t>
      </w:r>
      <w:r w:rsidRPr="004356C6">
        <w:rPr>
          <w:i/>
          <w:iCs/>
          <w:lang w:eastAsia="zh-CN"/>
        </w:rPr>
        <w:t>a</w:t>
      </w:r>
      <w:r w:rsidR="00A67C31">
        <w:rPr>
          <w:lang w:eastAsia="zh-CN"/>
        </w:rPr>
        <w:t xml:space="preserve"> </w:t>
      </w:r>
      <w:r w:rsidRPr="004356C6">
        <w:rPr>
          <w:lang w:eastAsia="zh-CN"/>
        </w:rPr>
        <w:t>and</w:t>
      </w:r>
      <w:r w:rsidR="00A67C31">
        <w:rPr>
          <w:lang w:eastAsia="zh-CN"/>
        </w:rPr>
        <w:t xml:space="preserve"> </w:t>
      </w:r>
      <w:r w:rsidRPr="004356C6">
        <w:rPr>
          <w:i/>
          <w:iCs/>
          <w:lang w:eastAsia="zh-CN"/>
        </w:rPr>
        <w:t>b</w:t>
      </w:r>
      <w:r w:rsidR="00A67C31">
        <w:rPr>
          <w:lang w:eastAsia="zh-CN"/>
        </w:rPr>
        <w:t xml:space="preserve"> </w:t>
      </w:r>
      <w:r w:rsidRPr="004356C6">
        <w:rPr>
          <w:lang w:eastAsia="zh-CN"/>
        </w:rPr>
        <w:t>are constants equal to -0.505 and ó2.44, respectively, for sample sizes of 25: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55794" w14:paraId="29D94D09" w14:textId="77777777" w:rsidTr="00D55794">
        <w:tc>
          <w:tcPr>
            <w:tcW w:w="4675" w:type="dxa"/>
            <w:vAlign w:val="center"/>
          </w:tcPr>
          <w:p w14:paraId="1F8E7652" w14:textId="77777777" w:rsidR="00D55794" w:rsidRDefault="0013285A" w:rsidP="00D55794">
            <w:pPr>
              <w:rPr>
                <w:lang w:eastAsia="zh-CN"/>
              </w:rPr>
            </w:pPr>
            <m:oMathPara>
              <m:oMath>
                <m:func>
                  <m:funcPr>
                    <m:ctrlPr>
                      <w:rPr>
                        <w:rFonts w:ascii="Cambria Math" w:hAnsi="Cambria Math"/>
                        <w:i/>
                        <w:lang w:eastAsia="zh-CN"/>
                      </w:rPr>
                    </m:ctrlPr>
                  </m:funcPr>
                  <m:fName>
                    <m:r>
                      <m:rPr>
                        <m:sty m:val="p"/>
                      </m:rPr>
                      <w:rPr>
                        <w:rFonts w:ascii="Cambria Math" w:hAnsi="Cambria Math"/>
                      </w:rPr>
                      <m:t>ln</m:t>
                    </m:r>
                  </m:fName>
                  <m:e>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1</m:t>
                        </m:r>
                      </m:e>
                    </m:d>
                    <m:r>
                      <w:rPr>
                        <w:rFonts w:ascii="Cambria Math" w:hAnsi="Cambria Math"/>
                        <w:lang w:eastAsia="zh-CN"/>
                      </w:rPr>
                      <m:t>=a</m:t>
                    </m:r>
                    <m:func>
                      <m:funcPr>
                        <m:ctrlPr>
                          <w:rPr>
                            <w:rFonts w:ascii="Cambria Math" w:hAnsi="Cambria Math"/>
                            <w:i/>
                            <w:lang w:eastAsia="zh-CN"/>
                          </w:rPr>
                        </m:ctrlPr>
                      </m:funcPr>
                      <m:fName>
                        <m:r>
                          <m:rPr>
                            <m:sty m:val="p"/>
                          </m:rPr>
                          <w:rPr>
                            <w:rFonts w:ascii="Cambria Math" w:hAnsi="Cambria Math"/>
                          </w:rPr>
                          <m:t>ln</m:t>
                        </m:r>
                      </m:fName>
                      <m:e>
                        <m:d>
                          <m:dPr>
                            <m:ctrlPr>
                              <w:rPr>
                                <w:rFonts w:ascii="Cambria Math" w:hAnsi="Cambria Math"/>
                                <w:i/>
                                <w:lang w:eastAsia="zh-CN"/>
                              </w:rPr>
                            </m:ctrlPr>
                          </m:dPr>
                          <m:e>
                            <m:r>
                              <w:rPr>
                                <w:rFonts w:ascii="Cambria Math" w:hAnsi="Cambria Math"/>
                                <w:lang w:eastAsia="zh-CN"/>
                              </w:rPr>
                              <m:t>Nm</m:t>
                            </m:r>
                          </m:e>
                        </m:d>
                        <m:r>
                          <w:rPr>
                            <w:rFonts w:ascii="Cambria Math" w:hAnsi="Cambria Math"/>
                            <w:lang w:eastAsia="zh-CN"/>
                          </w:rPr>
                          <m:t>+b</m:t>
                        </m:r>
                      </m:e>
                    </m:func>
                  </m:e>
                </m:func>
              </m:oMath>
            </m:oMathPara>
          </w:p>
        </w:tc>
        <w:tc>
          <w:tcPr>
            <w:tcW w:w="4675" w:type="dxa"/>
            <w:vAlign w:val="center"/>
          </w:tcPr>
          <w:p w14:paraId="375DF052" w14:textId="77777777" w:rsidR="00D55794" w:rsidRDefault="00D55794" w:rsidP="00D55794">
            <w:pPr>
              <w:rPr>
                <w:lang w:eastAsia="zh-CN"/>
              </w:rPr>
            </w:pPr>
            <w:r>
              <w:rPr>
                <w:lang w:eastAsia="zh-CN"/>
              </w:rPr>
              <w:t xml:space="preserve">LaTeX Code: </w:t>
            </w:r>
            <w:proofErr w:type="gramStart"/>
            <w:r>
              <w:rPr>
                <w:lang w:eastAsia="zh-CN"/>
              </w:rPr>
              <w:t>\[</w:t>
            </w:r>
            <w:proofErr w:type="gramEnd"/>
            <w:r>
              <w:rPr>
                <w:lang w:eastAsia="zh-CN"/>
              </w:rPr>
              <w:t xml:space="preserve"> \ln{p(1)} = a \ln{(Nm)} + b \]</w:t>
            </w:r>
          </w:p>
        </w:tc>
      </w:tr>
    </w:tbl>
    <w:p w14:paraId="106D248B" w14:textId="77777777" w:rsidR="00D55794" w:rsidRPr="004356C6" w:rsidRDefault="00D55794" w:rsidP="004356C6">
      <w:pPr>
        <w:rPr>
          <w:lang w:eastAsia="zh-CN"/>
        </w:rPr>
      </w:pPr>
    </w:p>
    <w:p w14:paraId="461FACE8" w14:textId="77777777" w:rsidR="004356C6" w:rsidRPr="004356C6" w:rsidRDefault="004356C6" w:rsidP="004356C6">
      <w:pPr>
        <w:rPr>
          <w:lang w:eastAsia="zh-CN"/>
        </w:rPr>
      </w:pPr>
      <w:proofErr w:type="spellStart"/>
      <w:r w:rsidRPr="004356C6">
        <w:rPr>
          <w:lang w:eastAsia="zh-CN"/>
        </w:rPr>
        <w:lastRenderedPageBreak/>
        <w:t>Riechert</w:t>
      </w:r>
      <w:proofErr w:type="spellEnd"/>
      <w:r w:rsidRPr="004356C6">
        <w:rPr>
          <w:lang w:eastAsia="zh-CN"/>
        </w:rPr>
        <w:t xml:space="preserve"> used this approach as well, starting with all five local populations, and at each step omitting the population farthest from the riparian woodland until the two populations being compared were the riparian woodland spiders and those from the immediately adjacent habitat.</w:t>
      </w:r>
    </w:p>
    <w:p w14:paraId="483913E7" w14:textId="77777777" w:rsidR="004356C6" w:rsidRPr="004356C6" w:rsidRDefault="004356C6" w:rsidP="00043347">
      <w:pPr>
        <w:jc w:val="center"/>
        <w:rPr>
          <w:lang w:eastAsia="zh-CN"/>
        </w:rPr>
      </w:pPr>
      <w:r w:rsidRPr="004356C6">
        <w:rPr>
          <w:b/>
          <w:bCs/>
          <w:lang w:eastAsia="zh-CN"/>
        </w:rPr>
        <w:t>Table 2</w:t>
      </w:r>
    </w:p>
    <w:tbl>
      <w:tblPr>
        <w:tblW w:w="405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100" w:type="dxa"/>
          <w:left w:w="100" w:type="dxa"/>
          <w:bottom w:w="100" w:type="dxa"/>
          <w:right w:w="100" w:type="dxa"/>
        </w:tblCellMar>
        <w:tblLook w:val="04A0" w:firstRow="1" w:lastRow="0" w:firstColumn="1" w:lastColumn="0" w:noHBand="0" w:noVBand="1"/>
      </w:tblPr>
      <w:tblGrid>
        <w:gridCol w:w="1333"/>
        <w:gridCol w:w="1318"/>
        <w:gridCol w:w="1399"/>
      </w:tblGrid>
      <w:tr w:rsidR="004356C6" w:rsidRPr="004356C6" w14:paraId="25AF4762" w14:textId="77777777" w:rsidTr="00043347">
        <w:trPr>
          <w:tblCellSpacing w:w="15" w:type="dxa"/>
          <w:jc w:val="center"/>
        </w:trPr>
        <w:tc>
          <w:tcPr>
            <w:tcW w:w="1650" w:type="pct"/>
            <w:shd w:val="clear" w:color="auto" w:fill="CCCCCC"/>
            <w:hideMark/>
          </w:tcPr>
          <w:p w14:paraId="50BD53AB" w14:textId="77777777" w:rsidR="004356C6" w:rsidRPr="004356C6" w:rsidRDefault="004356C6" w:rsidP="00043347">
            <w:pPr>
              <w:pStyle w:val="TableContent"/>
              <w:rPr>
                <w:lang w:eastAsia="zh-CN"/>
              </w:rPr>
            </w:pPr>
            <w:proofErr w:type="gramStart"/>
            <w:r w:rsidRPr="004356C6">
              <w:rPr>
                <w:lang w:eastAsia="zh-CN"/>
              </w:rPr>
              <w:t>p(</w:t>
            </w:r>
            <w:proofErr w:type="gramEnd"/>
            <w:r w:rsidRPr="004356C6">
              <w:rPr>
                <w:lang w:eastAsia="zh-CN"/>
              </w:rPr>
              <w:t>1)</w:t>
            </w:r>
          </w:p>
        </w:tc>
        <w:tc>
          <w:tcPr>
            <w:tcW w:w="1650" w:type="pct"/>
            <w:shd w:val="clear" w:color="auto" w:fill="CCCCCC"/>
            <w:hideMark/>
          </w:tcPr>
          <w:p w14:paraId="0A3F9D4B" w14:textId="77777777" w:rsidR="004356C6" w:rsidRPr="004356C6" w:rsidRDefault="004356C6" w:rsidP="00043347">
            <w:pPr>
              <w:pStyle w:val="TableContent"/>
              <w:rPr>
                <w:lang w:eastAsia="zh-CN"/>
              </w:rPr>
            </w:pPr>
            <w:r w:rsidRPr="004356C6">
              <w:rPr>
                <w:lang w:eastAsia="zh-CN"/>
              </w:rPr>
              <w:t>Average sample size</w:t>
            </w:r>
          </w:p>
        </w:tc>
        <w:tc>
          <w:tcPr>
            <w:tcW w:w="1650" w:type="pct"/>
            <w:shd w:val="clear" w:color="auto" w:fill="CCCCCC"/>
            <w:hideMark/>
          </w:tcPr>
          <w:p w14:paraId="4581F560" w14:textId="77777777" w:rsidR="004356C6" w:rsidRPr="004356C6" w:rsidRDefault="004356C6" w:rsidP="00043347">
            <w:pPr>
              <w:pStyle w:val="TableContent"/>
              <w:rPr>
                <w:lang w:eastAsia="zh-CN"/>
              </w:rPr>
            </w:pPr>
            <w:r w:rsidRPr="004356C6">
              <w:rPr>
                <w:lang w:eastAsia="zh-CN"/>
              </w:rPr>
              <w:t>Number of Populations</w:t>
            </w:r>
          </w:p>
        </w:tc>
      </w:tr>
      <w:tr w:rsidR="004356C6" w:rsidRPr="004356C6" w14:paraId="77A6D8C6" w14:textId="77777777" w:rsidTr="00043347">
        <w:trPr>
          <w:tblCellSpacing w:w="15" w:type="dxa"/>
          <w:jc w:val="center"/>
        </w:trPr>
        <w:tc>
          <w:tcPr>
            <w:tcW w:w="1650" w:type="pct"/>
            <w:shd w:val="clear" w:color="auto" w:fill="CCCCCC"/>
            <w:hideMark/>
          </w:tcPr>
          <w:p w14:paraId="50523678" w14:textId="77777777" w:rsidR="004356C6" w:rsidRPr="004356C6" w:rsidRDefault="004356C6" w:rsidP="00043347">
            <w:pPr>
              <w:pStyle w:val="TableContent"/>
              <w:rPr>
                <w:lang w:eastAsia="zh-CN"/>
              </w:rPr>
            </w:pPr>
            <w:r w:rsidRPr="004356C6">
              <w:rPr>
                <w:lang w:eastAsia="zh-CN"/>
              </w:rPr>
              <w:t>0.0607</w:t>
            </w:r>
          </w:p>
        </w:tc>
        <w:tc>
          <w:tcPr>
            <w:tcW w:w="1650" w:type="pct"/>
            <w:shd w:val="clear" w:color="auto" w:fill="CCCCCC"/>
            <w:hideMark/>
          </w:tcPr>
          <w:p w14:paraId="7D007873" w14:textId="77777777" w:rsidR="004356C6" w:rsidRPr="004356C6" w:rsidRDefault="004356C6" w:rsidP="00043347">
            <w:pPr>
              <w:pStyle w:val="TableContent"/>
              <w:rPr>
                <w:lang w:eastAsia="zh-CN"/>
              </w:rPr>
            </w:pPr>
            <w:r w:rsidRPr="004356C6">
              <w:rPr>
                <w:lang w:eastAsia="zh-CN"/>
              </w:rPr>
              <w:t>31.9</w:t>
            </w:r>
          </w:p>
        </w:tc>
        <w:tc>
          <w:tcPr>
            <w:tcW w:w="1650" w:type="pct"/>
            <w:shd w:val="clear" w:color="auto" w:fill="CCCCCC"/>
            <w:hideMark/>
          </w:tcPr>
          <w:p w14:paraId="1619D256" w14:textId="77777777" w:rsidR="004356C6" w:rsidRPr="004356C6" w:rsidRDefault="004356C6" w:rsidP="00043347">
            <w:pPr>
              <w:pStyle w:val="TableContent"/>
              <w:rPr>
                <w:lang w:eastAsia="zh-CN"/>
              </w:rPr>
            </w:pPr>
            <w:r w:rsidRPr="004356C6">
              <w:rPr>
                <w:lang w:eastAsia="zh-CN"/>
              </w:rPr>
              <w:t>5</w:t>
            </w:r>
          </w:p>
        </w:tc>
      </w:tr>
      <w:tr w:rsidR="004356C6" w:rsidRPr="004356C6" w14:paraId="68629FCD" w14:textId="77777777" w:rsidTr="00043347">
        <w:trPr>
          <w:tblCellSpacing w:w="15" w:type="dxa"/>
          <w:jc w:val="center"/>
        </w:trPr>
        <w:tc>
          <w:tcPr>
            <w:tcW w:w="1650" w:type="pct"/>
            <w:shd w:val="clear" w:color="auto" w:fill="CCCCCC"/>
            <w:hideMark/>
          </w:tcPr>
          <w:p w14:paraId="56D71239" w14:textId="77777777" w:rsidR="004356C6" w:rsidRPr="004356C6" w:rsidRDefault="004356C6" w:rsidP="00043347">
            <w:pPr>
              <w:pStyle w:val="TableContent"/>
              <w:rPr>
                <w:lang w:eastAsia="zh-CN"/>
              </w:rPr>
            </w:pPr>
            <w:r w:rsidRPr="004356C6">
              <w:rPr>
                <w:lang w:eastAsia="zh-CN"/>
              </w:rPr>
              <w:t>0.0540</w:t>
            </w:r>
          </w:p>
        </w:tc>
        <w:tc>
          <w:tcPr>
            <w:tcW w:w="1650" w:type="pct"/>
            <w:shd w:val="clear" w:color="auto" w:fill="CCCCCC"/>
            <w:hideMark/>
          </w:tcPr>
          <w:p w14:paraId="13E2FCEF" w14:textId="77777777" w:rsidR="004356C6" w:rsidRPr="004356C6" w:rsidRDefault="004356C6" w:rsidP="00043347">
            <w:pPr>
              <w:pStyle w:val="TableContent"/>
              <w:rPr>
                <w:lang w:eastAsia="zh-CN"/>
              </w:rPr>
            </w:pPr>
            <w:r w:rsidRPr="004356C6">
              <w:rPr>
                <w:lang w:eastAsia="zh-CN"/>
              </w:rPr>
              <w:t>30.8</w:t>
            </w:r>
          </w:p>
        </w:tc>
        <w:tc>
          <w:tcPr>
            <w:tcW w:w="1650" w:type="pct"/>
            <w:shd w:val="clear" w:color="auto" w:fill="CCCCCC"/>
            <w:hideMark/>
          </w:tcPr>
          <w:p w14:paraId="060E29B4" w14:textId="77777777" w:rsidR="004356C6" w:rsidRPr="004356C6" w:rsidRDefault="004356C6" w:rsidP="00043347">
            <w:pPr>
              <w:pStyle w:val="TableContent"/>
              <w:rPr>
                <w:lang w:eastAsia="zh-CN"/>
              </w:rPr>
            </w:pPr>
            <w:r w:rsidRPr="004356C6">
              <w:rPr>
                <w:lang w:eastAsia="zh-CN"/>
              </w:rPr>
              <w:t>4</w:t>
            </w:r>
          </w:p>
        </w:tc>
      </w:tr>
      <w:tr w:rsidR="004356C6" w:rsidRPr="004356C6" w14:paraId="4D1A3193" w14:textId="77777777" w:rsidTr="00043347">
        <w:trPr>
          <w:tblCellSpacing w:w="15" w:type="dxa"/>
          <w:jc w:val="center"/>
        </w:trPr>
        <w:tc>
          <w:tcPr>
            <w:tcW w:w="1650" w:type="pct"/>
            <w:shd w:val="clear" w:color="auto" w:fill="CCCCCC"/>
            <w:hideMark/>
          </w:tcPr>
          <w:p w14:paraId="2A996B44" w14:textId="77777777" w:rsidR="004356C6" w:rsidRPr="004356C6" w:rsidRDefault="004356C6" w:rsidP="00043347">
            <w:pPr>
              <w:pStyle w:val="TableContent"/>
              <w:rPr>
                <w:lang w:eastAsia="zh-CN"/>
              </w:rPr>
            </w:pPr>
            <w:r w:rsidRPr="004356C6">
              <w:rPr>
                <w:lang w:eastAsia="zh-CN"/>
              </w:rPr>
              <w:t>0.0483</w:t>
            </w:r>
          </w:p>
        </w:tc>
        <w:tc>
          <w:tcPr>
            <w:tcW w:w="1650" w:type="pct"/>
            <w:shd w:val="clear" w:color="auto" w:fill="CCCCCC"/>
            <w:hideMark/>
          </w:tcPr>
          <w:p w14:paraId="5AB4E9D7" w14:textId="77777777" w:rsidR="004356C6" w:rsidRPr="004356C6" w:rsidRDefault="004356C6" w:rsidP="00043347">
            <w:pPr>
              <w:pStyle w:val="TableContent"/>
              <w:rPr>
                <w:lang w:eastAsia="zh-CN"/>
              </w:rPr>
            </w:pPr>
            <w:r w:rsidRPr="004356C6">
              <w:rPr>
                <w:lang w:eastAsia="zh-CN"/>
              </w:rPr>
              <w:t>31.9</w:t>
            </w:r>
          </w:p>
        </w:tc>
        <w:tc>
          <w:tcPr>
            <w:tcW w:w="1650" w:type="pct"/>
            <w:shd w:val="clear" w:color="auto" w:fill="CCCCCC"/>
            <w:hideMark/>
          </w:tcPr>
          <w:p w14:paraId="697BCAA6" w14:textId="77777777" w:rsidR="004356C6" w:rsidRPr="004356C6" w:rsidRDefault="004356C6" w:rsidP="00043347">
            <w:pPr>
              <w:pStyle w:val="TableContent"/>
              <w:rPr>
                <w:lang w:eastAsia="zh-CN"/>
              </w:rPr>
            </w:pPr>
            <w:r w:rsidRPr="004356C6">
              <w:rPr>
                <w:lang w:eastAsia="zh-CN"/>
              </w:rPr>
              <w:t>3</w:t>
            </w:r>
          </w:p>
        </w:tc>
      </w:tr>
      <w:tr w:rsidR="004356C6" w:rsidRPr="004356C6" w14:paraId="0AC8D2F1" w14:textId="77777777" w:rsidTr="00043347">
        <w:trPr>
          <w:tblCellSpacing w:w="15" w:type="dxa"/>
          <w:jc w:val="center"/>
        </w:trPr>
        <w:tc>
          <w:tcPr>
            <w:tcW w:w="1650" w:type="pct"/>
            <w:shd w:val="clear" w:color="auto" w:fill="CCCCCC"/>
            <w:hideMark/>
          </w:tcPr>
          <w:p w14:paraId="00ECA421" w14:textId="77777777" w:rsidR="004356C6" w:rsidRPr="004356C6" w:rsidRDefault="004356C6" w:rsidP="00043347">
            <w:pPr>
              <w:pStyle w:val="TableContent"/>
              <w:rPr>
                <w:lang w:eastAsia="zh-CN"/>
              </w:rPr>
            </w:pPr>
            <w:r w:rsidRPr="004356C6">
              <w:rPr>
                <w:lang w:eastAsia="zh-CN"/>
              </w:rPr>
              <w:t>0.0484</w:t>
            </w:r>
          </w:p>
        </w:tc>
        <w:tc>
          <w:tcPr>
            <w:tcW w:w="1650" w:type="pct"/>
            <w:shd w:val="clear" w:color="auto" w:fill="CCCCCC"/>
            <w:hideMark/>
          </w:tcPr>
          <w:p w14:paraId="116143A8" w14:textId="77777777" w:rsidR="004356C6" w:rsidRPr="004356C6" w:rsidRDefault="004356C6" w:rsidP="00043347">
            <w:pPr>
              <w:pStyle w:val="TableContent"/>
              <w:rPr>
                <w:lang w:eastAsia="zh-CN"/>
              </w:rPr>
            </w:pPr>
            <w:r w:rsidRPr="004356C6">
              <w:rPr>
                <w:lang w:eastAsia="zh-CN"/>
              </w:rPr>
              <w:t>34.9</w:t>
            </w:r>
          </w:p>
        </w:tc>
        <w:tc>
          <w:tcPr>
            <w:tcW w:w="1650" w:type="pct"/>
            <w:shd w:val="clear" w:color="auto" w:fill="CCCCCC"/>
            <w:hideMark/>
          </w:tcPr>
          <w:p w14:paraId="5B6D4A50" w14:textId="77777777" w:rsidR="004356C6" w:rsidRPr="004356C6" w:rsidRDefault="004356C6" w:rsidP="00043347">
            <w:pPr>
              <w:pStyle w:val="TableContent"/>
              <w:rPr>
                <w:lang w:eastAsia="zh-CN"/>
              </w:rPr>
            </w:pPr>
            <w:r w:rsidRPr="004356C6">
              <w:rPr>
                <w:lang w:eastAsia="zh-CN"/>
              </w:rPr>
              <w:t>2</w:t>
            </w:r>
          </w:p>
        </w:tc>
      </w:tr>
    </w:tbl>
    <w:p w14:paraId="55512AB0" w14:textId="77777777" w:rsidR="004356C6" w:rsidRPr="004356C6" w:rsidRDefault="004356C6" w:rsidP="004356C6">
      <w:pPr>
        <w:rPr>
          <w:color w:val="auto"/>
          <w:sz w:val="24"/>
          <w:szCs w:val="24"/>
          <w:lang w:eastAsia="zh-CN"/>
        </w:rPr>
      </w:pPr>
    </w:p>
    <w:p w14:paraId="25DF7230" w14:textId="77777777" w:rsidR="004356C6" w:rsidRDefault="004356C6" w:rsidP="004356C6">
      <w:pPr>
        <w:rPr>
          <w:lang w:eastAsia="zh-CN"/>
        </w:rPr>
      </w:pPr>
      <w:r w:rsidRPr="004356C6">
        <w:rPr>
          <w:lang w:eastAsia="zh-CN"/>
        </w:rPr>
        <w:t>Given</w:t>
      </w:r>
      <w:r w:rsidR="007B181E">
        <w:rPr>
          <w:lang w:eastAsia="zh-CN"/>
        </w:rPr>
        <w:t xml:space="preserve"> </w:t>
      </w:r>
      <w:proofErr w:type="gramStart"/>
      <w:r w:rsidRPr="004356C6">
        <w:rPr>
          <w:i/>
          <w:iCs/>
          <w:lang w:eastAsia="zh-CN"/>
        </w:rPr>
        <w:t>p</w:t>
      </w:r>
      <w:r w:rsidRPr="004356C6">
        <w:rPr>
          <w:lang w:eastAsia="zh-CN"/>
        </w:rPr>
        <w:t>(</w:t>
      </w:r>
      <w:proofErr w:type="gramEnd"/>
      <w:r w:rsidRPr="004356C6">
        <w:rPr>
          <w:lang w:eastAsia="zh-CN"/>
        </w:rPr>
        <w:t>1) for the two nearest populations we can calculate the gene flow among them (</w:t>
      </w:r>
      <w:r w:rsidRPr="004356C6">
        <w:rPr>
          <w:i/>
          <w:iCs/>
          <w:lang w:eastAsia="zh-CN"/>
        </w:rPr>
        <w:t>Nm</w:t>
      </w:r>
      <w:r w:rsidRPr="004356C6">
        <w:rPr>
          <w:lang w:eastAsia="zh-CN"/>
        </w:rPr>
        <w:t>) by rearranging: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17E41" w14:paraId="5F1B0488" w14:textId="77777777" w:rsidTr="00817E41">
        <w:tc>
          <w:tcPr>
            <w:tcW w:w="4675" w:type="dxa"/>
            <w:vAlign w:val="center"/>
          </w:tcPr>
          <w:p w14:paraId="082C6386" w14:textId="77777777" w:rsidR="00817E41" w:rsidRDefault="0013285A" w:rsidP="00817E41">
            <w:pPr>
              <w:rPr>
                <w:lang w:eastAsia="zh-CN"/>
              </w:rPr>
            </w:pPr>
            <m:oMathPara>
              <m:oMath>
                <m:f>
                  <m:fPr>
                    <m:ctrlPr>
                      <w:rPr>
                        <w:rFonts w:ascii="Cambria Math" w:hAnsi="Cambria Math"/>
                        <w:i/>
                        <w:lang w:eastAsia="zh-CN"/>
                      </w:rPr>
                    </m:ctrlPr>
                  </m:fPr>
                  <m:num>
                    <m:func>
                      <m:funcPr>
                        <m:ctrlPr>
                          <w:rPr>
                            <w:rFonts w:ascii="Cambria Math" w:hAnsi="Cambria Math"/>
                            <w:i/>
                            <w:lang w:eastAsia="zh-CN"/>
                          </w:rPr>
                        </m:ctrlPr>
                      </m:funcPr>
                      <m:fName>
                        <m:r>
                          <m:rPr>
                            <m:sty m:val="p"/>
                          </m:rPr>
                          <w:rPr>
                            <w:rFonts w:ascii="Cambria Math" w:hAnsi="Cambria Math"/>
                          </w:rPr>
                          <m:t>ln</m:t>
                        </m:r>
                      </m:fName>
                      <m:e>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1</m:t>
                            </m:r>
                          </m:e>
                        </m:d>
                        <m:r>
                          <w:rPr>
                            <w:rFonts w:ascii="Cambria Math" w:hAnsi="Cambria Math"/>
                            <w:lang w:eastAsia="zh-CN"/>
                          </w:rPr>
                          <m:t>-b</m:t>
                        </m:r>
                      </m:e>
                    </m:func>
                  </m:num>
                  <m:den>
                    <m:r>
                      <w:rPr>
                        <w:rFonts w:ascii="Cambria Math" w:hAnsi="Cambria Math"/>
                        <w:lang w:eastAsia="zh-CN"/>
                      </w:rPr>
                      <m:t>a</m:t>
                    </m:r>
                  </m:den>
                </m:f>
                <m:r>
                  <w:rPr>
                    <w:rFonts w:ascii="Cambria Math" w:hAnsi="Cambria Math"/>
                    <w:lang w:eastAsia="zh-CN"/>
                  </w:rPr>
                  <m:t>=</m:t>
                </m:r>
                <m:func>
                  <m:funcPr>
                    <m:ctrlPr>
                      <w:rPr>
                        <w:rFonts w:ascii="Cambria Math" w:hAnsi="Cambria Math"/>
                        <w:i/>
                        <w:lang w:eastAsia="zh-CN"/>
                      </w:rPr>
                    </m:ctrlPr>
                  </m:funcPr>
                  <m:fName>
                    <m:r>
                      <m:rPr>
                        <m:sty m:val="p"/>
                      </m:rPr>
                      <w:rPr>
                        <w:rFonts w:ascii="Cambria Math" w:hAnsi="Cambria Math"/>
                      </w:rPr>
                      <m:t>ln</m:t>
                    </m:r>
                  </m:fName>
                  <m:e>
                    <m:d>
                      <m:dPr>
                        <m:ctrlPr>
                          <w:rPr>
                            <w:rFonts w:ascii="Cambria Math" w:hAnsi="Cambria Math"/>
                            <w:i/>
                            <w:lang w:eastAsia="zh-CN"/>
                          </w:rPr>
                        </m:ctrlPr>
                      </m:dPr>
                      <m:e>
                        <m:r>
                          <w:rPr>
                            <w:rFonts w:ascii="Cambria Math" w:hAnsi="Cambria Math"/>
                            <w:lang w:eastAsia="zh-CN"/>
                          </w:rPr>
                          <m:t>Nm</m:t>
                        </m:r>
                      </m:e>
                    </m:d>
                  </m:e>
                </m:func>
              </m:oMath>
            </m:oMathPara>
          </w:p>
        </w:tc>
        <w:tc>
          <w:tcPr>
            <w:tcW w:w="4675" w:type="dxa"/>
            <w:vAlign w:val="center"/>
          </w:tcPr>
          <w:p w14:paraId="29F2B51E" w14:textId="77777777" w:rsidR="00817E41" w:rsidRDefault="00817E41" w:rsidP="00817E41">
            <w:pPr>
              <w:rPr>
                <w:lang w:eastAsia="zh-CN"/>
              </w:rPr>
            </w:pPr>
            <w:r>
              <w:rPr>
                <w:lang w:eastAsia="zh-CN"/>
              </w:rPr>
              <w:t xml:space="preserve">LaTeX Code: </w:t>
            </w:r>
            <w:proofErr w:type="gramStart"/>
            <w:r>
              <w:rPr>
                <w:lang w:eastAsia="zh-CN"/>
              </w:rPr>
              <w:t>\[</w:t>
            </w:r>
            <w:proofErr w:type="gramEnd"/>
            <w:r>
              <w:rPr>
                <w:lang w:eastAsia="zh-CN"/>
              </w:rPr>
              <w:t xml:space="preserve"> \frac{\ln{p(1)} - b}{a} = \ln{(Nm)} \]</w:t>
            </w:r>
          </w:p>
        </w:tc>
      </w:tr>
    </w:tbl>
    <w:p w14:paraId="2A89BDEF" w14:textId="77777777" w:rsidR="004356C6" w:rsidRDefault="004356C6" w:rsidP="004356C6">
      <w:pPr>
        <w:rPr>
          <w:lang w:eastAsia="zh-CN"/>
        </w:rPr>
      </w:pPr>
      <w:r w:rsidRPr="004356C6">
        <w:rPr>
          <w:lang w:eastAsia="zh-CN"/>
        </w:rPr>
        <w:t xml:space="preserve">Substituting our known </w:t>
      </w:r>
      <w:r w:rsidR="00817E41" w:rsidRPr="004356C6">
        <w:rPr>
          <w:lang w:eastAsia="zh-CN"/>
        </w:rPr>
        <w:t>values,</w:t>
      </w:r>
      <w:r w:rsidRPr="004356C6">
        <w:rPr>
          <w:lang w:eastAsia="zh-CN"/>
        </w:rPr>
        <w:t xml:space="preserve"> we 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73007" w14:paraId="27214793" w14:textId="77777777" w:rsidTr="003545F2">
        <w:tc>
          <w:tcPr>
            <w:tcW w:w="4675" w:type="dxa"/>
            <w:vAlign w:val="center"/>
          </w:tcPr>
          <w:p w14:paraId="01483C37" w14:textId="77777777" w:rsidR="00373007" w:rsidRDefault="0013285A" w:rsidP="003545F2">
            <w:pPr>
              <w:rPr>
                <w:lang w:eastAsia="zh-CN"/>
              </w:rPr>
            </w:pPr>
            <m:oMathPara>
              <m:oMath>
                <m:f>
                  <m:fPr>
                    <m:ctrlPr>
                      <w:rPr>
                        <w:rFonts w:ascii="Cambria Math" w:hAnsi="Cambria Math"/>
                        <w:i/>
                        <w:lang w:eastAsia="zh-CN"/>
                      </w:rPr>
                    </m:ctrlPr>
                  </m:fPr>
                  <m:num>
                    <m:func>
                      <m:funcPr>
                        <m:ctrlPr>
                          <w:rPr>
                            <w:rFonts w:ascii="Cambria Math" w:hAnsi="Cambria Math"/>
                            <w:i/>
                            <w:lang w:eastAsia="zh-CN"/>
                          </w:rPr>
                        </m:ctrlPr>
                      </m:funcPr>
                      <m:fName>
                        <m:r>
                          <m:rPr>
                            <m:sty m:val="p"/>
                          </m:rPr>
                          <w:rPr>
                            <w:rFonts w:ascii="Cambria Math" w:hAnsi="Cambria Math"/>
                          </w:rPr>
                          <m:t>ln</m:t>
                        </m:r>
                      </m:fName>
                      <m:e>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1</m:t>
                            </m:r>
                          </m:e>
                        </m:d>
                        <m:r>
                          <w:rPr>
                            <w:rFonts w:ascii="Cambria Math" w:hAnsi="Cambria Math"/>
                            <w:lang w:eastAsia="zh-CN"/>
                          </w:rPr>
                          <m:t>-</m:t>
                        </m:r>
                        <m:d>
                          <m:dPr>
                            <m:ctrlPr>
                              <w:rPr>
                                <w:rFonts w:ascii="Cambria Math" w:hAnsi="Cambria Math"/>
                                <w:i/>
                                <w:lang w:eastAsia="zh-CN"/>
                              </w:rPr>
                            </m:ctrlPr>
                          </m:dPr>
                          <m:e>
                            <m:r>
                              <w:rPr>
                                <w:rFonts w:ascii="Cambria Math" w:hAnsi="Cambria Math"/>
                                <w:lang w:eastAsia="zh-CN"/>
                              </w:rPr>
                              <m:t>-2.44</m:t>
                            </m:r>
                          </m:e>
                        </m:d>
                      </m:e>
                    </m:func>
                  </m:num>
                  <m:den>
                    <m:r>
                      <w:rPr>
                        <w:rFonts w:ascii="Cambria Math" w:hAnsi="Cambria Math"/>
                        <w:lang w:eastAsia="zh-CN"/>
                      </w:rPr>
                      <m:t>-0.505</m:t>
                    </m:r>
                  </m:den>
                </m:f>
                <m:r>
                  <w:rPr>
                    <w:rFonts w:ascii="Cambria Math" w:hAnsi="Cambria Math"/>
                    <w:lang w:eastAsia="zh-CN"/>
                  </w:rPr>
                  <m:t>=</m:t>
                </m:r>
                <m:func>
                  <m:funcPr>
                    <m:ctrlPr>
                      <w:rPr>
                        <w:rFonts w:ascii="Cambria Math" w:hAnsi="Cambria Math"/>
                        <w:i/>
                        <w:lang w:eastAsia="zh-CN"/>
                      </w:rPr>
                    </m:ctrlPr>
                  </m:funcPr>
                  <m:fName>
                    <m:r>
                      <m:rPr>
                        <m:sty m:val="p"/>
                      </m:rPr>
                      <w:rPr>
                        <w:rFonts w:ascii="Cambria Math" w:hAnsi="Cambria Math"/>
                      </w:rPr>
                      <m:t>ln</m:t>
                    </m:r>
                  </m:fName>
                  <m:e>
                    <m:d>
                      <m:dPr>
                        <m:ctrlPr>
                          <w:rPr>
                            <w:rFonts w:ascii="Cambria Math" w:hAnsi="Cambria Math"/>
                            <w:i/>
                            <w:lang w:eastAsia="zh-CN"/>
                          </w:rPr>
                        </m:ctrlPr>
                      </m:dPr>
                      <m:e>
                        <m:r>
                          <w:rPr>
                            <w:rFonts w:ascii="Cambria Math" w:hAnsi="Cambria Math"/>
                            <w:lang w:eastAsia="zh-CN"/>
                          </w:rPr>
                          <m:t>Nm</m:t>
                        </m:r>
                      </m:e>
                    </m:d>
                    <m:r>
                      <w:rPr>
                        <w:rFonts w:ascii="Cambria Math" w:hAnsi="Cambria Math"/>
                        <w:lang w:eastAsia="zh-CN"/>
                      </w:rPr>
                      <m:t>=1.1649</m:t>
                    </m:r>
                  </m:e>
                </m:func>
              </m:oMath>
            </m:oMathPara>
          </w:p>
        </w:tc>
        <w:tc>
          <w:tcPr>
            <w:tcW w:w="4675" w:type="dxa"/>
            <w:vAlign w:val="center"/>
          </w:tcPr>
          <w:p w14:paraId="4B3ABAE9" w14:textId="77777777" w:rsidR="00373007" w:rsidRDefault="00373007" w:rsidP="003545F2">
            <w:pPr>
              <w:rPr>
                <w:lang w:eastAsia="zh-CN"/>
              </w:rPr>
            </w:pPr>
            <w:r>
              <w:rPr>
                <w:lang w:eastAsia="zh-CN"/>
              </w:rPr>
              <w:t xml:space="preserve">LaTeX Code: </w:t>
            </w:r>
            <w:proofErr w:type="gramStart"/>
            <w:r>
              <w:rPr>
                <w:lang w:eastAsia="zh-CN"/>
              </w:rPr>
              <w:t>\[</w:t>
            </w:r>
            <w:proofErr w:type="gramEnd"/>
            <w:r>
              <w:rPr>
                <w:lang w:eastAsia="zh-CN"/>
              </w:rPr>
              <w:t xml:space="preserve"> \frac{\ln{p(1)} - (-2.44)}{</w:t>
            </w:r>
            <w:r w:rsidR="007610FE">
              <w:rPr>
                <w:lang w:eastAsia="zh-CN"/>
              </w:rPr>
              <w:t>-0.505</w:t>
            </w:r>
            <w:r>
              <w:rPr>
                <w:lang w:eastAsia="zh-CN"/>
              </w:rPr>
              <w:t>} = \ln{(Nm)}</w:t>
            </w:r>
            <w:r w:rsidR="0020682C">
              <w:rPr>
                <w:lang w:eastAsia="zh-CN"/>
              </w:rPr>
              <w:t xml:space="preserve"> = 1.1649</w:t>
            </w:r>
            <w:r>
              <w:rPr>
                <w:lang w:eastAsia="zh-CN"/>
              </w:rPr>
              <w:t xml:space="preserve"> \]</w:t>
            </w:r>
          </w:p>
        </w:tc>
      </w:tr>
    </w:tbl>
    <w:p w14:paraId="42C3A9EB" w14:textId="77777777" w:rsidR="004356C6" w:rsidRDefault="004356C6" w:rsidP="004356C6">
      <w:pPr>
        <w:rPr>
          <w:lang w:eastAsia="zh-CN"/>
        </w:rPr>
      </w:pPr>
      <w:r w:rsidRPr="004356C6">
        <w:rPr>
          <w:lang w:eastAsia="zh-CN"/>
        </w:rPr>
        <w:t>and we can exponentiate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62FBF" w14:paraId="7B6C5286" w14:textId="77777777" w:rsidTr="00262FBF">
        <w:tc>
          <w:tcPr>
            <w:tcW w:w="4675" w:type="dxa"/>
            <w:vAlign w:val="center"/>
          </w:tcPr>
          <w:p w14:paraId="675A7C34" w14:textId="77777777" w:rsidR="00262FBF" w:rsidRDefault="00262FBF" w:rsidP="00262FBF">
            <w:pPr>
              <w:rPr>
                <w:lang w:eastAsia="zh-CN"/>
              </w:rPr>
            </w:pPr>
            <m:oMathPara>
              <m:oMath>
                <m:r>
                  <w:rPr>
                    <w:rFonts w:ascii="Cambria Math" w:hAnsi="Cambria Math"/>
                    <w:lang w:eastAsia="zh-CN"/>
                  </w:rPr>
                  <m:t>Nm=</m:t>
                </m:r>
                <m:sSup>
                  <m:sSupPr>
                    <m:ctrlPr>
                      <w:rPr>
                        <w:rFonts w:ascii="Cambria Math" w:hAnsi="Cambria Math"/>
                        <w:i/>
                        <w:lang w:eastAsia="zh-CN"/>
                      </w:rPr>
                    </m:ctrlPr>
                  </m:sSupPr>
                  <m:e>
                    <m:r>
                      <w:rPr>
                        <w:rFonts w:ascii="Cambria Math" w:hAnsi="Cambria Math"/>
                        <w:lang w:eastAsia="zh-CN"/>
                      </w:rPr>
                      <m:t>e</m:t>
                    </m:r>
                  </m:e>
                  <m:sup>
                    <m:r>
                      <w:rPr>
                        <w:rFonts w:ascii="Cambria Math" w:hAnsi="Cambria Math"/>
                        <w:lang w:eastAsia="zh-CN"/>
                      </w:rPr>
                      <m:t>1.1649</m:t>
                    </m:r>
                  </m:sup>
                </m:sSup>
                <m:r>
                  <w:rPr>
                    <w:rFonts w:ascii="Cambria Math" w:hAnsi="Cambria Math"/>
                    <w:lang w:eastAsia="zh-CN"/>
                  </w:rPr>
                  <m:t>=3.2059</m:t>
                </m:r>
              </m:oMath>
            </m:oMathPara>
          </w:p>
        </w:tc>
        <w:tc>
          <w:tcPr>
            <w:tcW w:w="4675" w:type="dxa"/>
            <w:vAlign w:val="center"/>
          </w:tcPr>
          <w:p w14:paraId="155BBCF2" w14:textId="77777777" w:rsidR="00262FBF" w:rsidRDefault="00262FBF" w:rsidP="00262FBF">
            <w:pPr>
              <w:rPr>
                <w:lang w:eastAsia="zh-CN"/>
              </w:rPr>
            </w:pPr>
            <w:r>
              <w:rPr>
                <w:lang w:eastAsia="zh-CN"/>
              </w:rPr>
              <w:t xml:space="preserve">LaTeX Code: </w:t>
            </w:r>
            <w:proofErr w:type="gramStart"/>
            <w:r>
              <w:rPr>
                <w:lang w:eastAsia="zh-CN"/>
              </w:rPr>
              <w:t>\[</w:t>
            </w:r>
            <w:proofErr w:type="gramEnd"/>
            <w:r>
              <w:rPr>
                <w:lang w:eastAsia="zh-CN"/>
              </w:rPr>
              <w:t xml:space="preserve"> Nm = e^{1.1649} = 3.2059 \]</w:t>
            </w:r>
          </w:p>
        </w:tc>
      </w:tr>
    </w:tbl>
    <w:p w14:paraId="05A6CAE1" w14:textId="77777777" w:rsidR="004356C6" w:rsidRDefault="004356C6" w:rsidP="004356C6">
      <w:pPr>
        <w:rPr>
          <w:lang w:eastAsia="zh-CN"/>
        </w:rPr>
      </w:pPr>
      <w:r w:rsidRPr="004356C6">
        <w:rPr>
          <w:lang w:eastAsia="zh-CN"/>
        </w:rPr>
        <w:t>However, because the values of the constants are based on a sample size of 25 and our average sample size for the two populations is 34.9, we need to make the following correction: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D3835" w14:paraId="2C3E7FE1" w14:textId="77777777" w:rsidTr="003545F2">
        <w:tc>
          <w:tcPr>
            <w:tcW w:w="4675" w:type="dxa"/>
            <w:vAlign w:val="center"/>
          </w:tcPr>
          <w:p w14:paraId="6AC1D84D" w14:textId="77777777" w:rsidR="00BD3835" w:rsidRDefault="00BD3835" w:rsidP="003545F2">
            <w:pPr>
              <w:rPr>
                <w:lang w:eastAsia="zh-CN"/>
              </w:rPr>
            </w:pPr>
            <m:oMathPara>
              <m:oMath>
                <m:r>
                  <w:rPr>
                    <w:rFonts w:ascii="Cambria Math" w:hAnsi="Cambria Math"/>
                    <w:lang w:eastAsia="zh-CN"/>
                  </w:rPr>
                  <m:t>N</m:t>
                </m:r>
                <m:sSup>
                  <m:sSupPr>
                    <m:ctrlPr>
                      <w:rPr>
                        <w:rFonts w:ascii="Cambria Math" w:hAnsi="Cambria Math"/>
                        <w:i/>
                        <w:lang w:eastAsia="zh-CN"/>
                      </w:rPr>
                    </m:ctrlPr>
                  </m:sSupPr>
                  <m:e>
                    <m:r>
                      <w:rPr>
                        <w:rFonts w:ascii="Cambria Math" w:hAnsi="Cambria Math"/>
                        <w:lang w:eastAsia="zh-CN"/>
                      </w:rPr>
                      <m:t>m</m:t>
                    </m:r>
                  </m:e>
                  <m:sup>
                    <m:r>
                      <w:rPr>
                        <w:rFonts w:ascii="Cambria Math" w:hAnsi="Cambria Math"/>
                        <w:lang w:eastAsia="zh-CN"/>
                      </w:rPr>
                      <m:t>*</m:t>
                    </m:r>
                  </m:sup>
                </m:sSup>
                <m:r>
                  <w:rPr>
                    <w:rFonts w:ascii="Cambria Math" w:hAnsi="Cambria Math"/>
                    <w:lang w:eastAsia="zh-CN"/>
                  </w:rPr>
                  <m:t>=Nm×</m:t>
                </m: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25</m:t>
                    </m:r>
                  </m:den>
                </m:f>
              </m:oMath>
            </m:oMathPara>
          </w:p>
        </w:tc>
        <w:tc>
          <w:tcPr>
            <w:tcW w:w="4675" w:type="dxa"/>
            <w:vAlign w:val="center"/>
          </w:tcPr>
          <w:p w14:paraId="2993F584" w14:textId="77777777" w:rsidR="00BD3835" w:rsidRDefault="00BD3835" w:rsidP="003545F2">
            <w:pPr>
              <w:rPr>
                <w:lang w:eastAsia="zh-CN"/>
              </w:rPr>
            </w:pPr>
            <w:r>
              <w:rPr>
                <w:lang w:eastAsia="zh-CN"/>
              </w:rPr>
              <w:t xml:space="preserve">LaTeX Code: </w:t>
            </w:r>
            <w:proofErr w:type="gramStart"/>
            <w:r>
              <w:rPr>
                <w:lang w:eastAsia="zh-CN"/>
              </w:rPr>
              <w:t>\[</w:t>
            </w:r>
            <w:proofErr w:type="gramEnd"/>
            <w:r>
              <w:rPr>
                <w:lang w:eastAsia="zh-CN"/>
              </w:rPr>
              <w:t xml:space="preserve"> Nm</w:t>
            </w:r>
            <w:r w:rsidR="00967C46">
              <w:rPr>
                <w:lang w:eastAsia="zh-CN"/>
              </w:rPr>
              <w:t>^*</w:t>
            </w:r>
            <w:r>
              <w:rPr>
                <w:lang w:eastAsia="zh-CN"/>
              </w:rPr>
              <w:t xml:space="preserve"> = </w:t>
            </w:r>
            <w:r w:rsidR="00967C46">
              <w:rPr>
                <w:lang w:eastAsia="zh-CN"/>
              </w:rPr>
              <w:t>Nm \times \frac{N}{25}</w:t>
            </w:r>
            <w:r>
              <w:rPr>
                <w:lang w:eastAsia="zh-CN"/>
              </w:rPr>
              <w:t xml:space="preserve"> \]</w:t>
            </w:r>
          </w:p>
        </w:tc>
      </w:tr>
    </w:tbl>
    <w:p w14:paraId="74BC93AE" w14:textId="77777777" w:rsidR="004356C6" w:rsidRPr="004356C6" w:rsidRDefault="004356C6" w:rsidP="004356C6">
      <w:pPr>
        <w:rPr>
          <w:lang w:eastAsia="zh-CN"/>
        </w:rPr>
      </w:pPr>
      <w:r w:rsidRPr="004356C6">
        <w:rPr>
          <w:lang w:eastAsia="zh-CN"/>
        </w:rPr>
        <w:t>The actual level of gene flow among these populations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37015" w14:paraId="2911B95A" w14:textId="77777777" w:rsidTr="003545F2">
        <w:tc>
          <w:tcPr>
            <w:tcW w:w="4675" w:type="dxa"/>
            <w:vAlign w:val="center"/>
          </w:tcPr>
          <w:p w14:paraId="017A7C37" w14:textId="77777777" w:rsidR="00937015" w:rsidRDefault="00937015" w:rsidP="003545F2">
            <w:pPr>
              <w:rPr>
                <w:lang w:eastAsia="zh-CN"/>
              </w:rPr>
            </w:pPr>
            <m:oMathPara>
              <m:oMath>
                <m:r>
                  <w:rPr>
                    <w:rFonts w:ascii="Cambria Math" w:hAnsi="Cambria Math"/>
                    <w:lang w:eastAsia="zh-CN"/>
                  </w:rPr>
                  <w:lastRenderedPageBreak/>
                  <m:t>N</m:t>
                </m:r>
                <m:sSup>
                  <m:sSupPr>
                    <m:ctrlPr>
                      <w:rPr>
                        <w:rFonts w:ascii="Cambria Math" w:hAnsi="Cambria Math"/>
                        <w:i/>
                        <w:lang w:eastAsia="zh-CN"/>
                      </w:rPr>
                    </m:ctrlPr>
                  </m:sSupPr>
                  <m:e>
                    <m:r>
                      <w:rPr>
                        <w:rFonts w:ascii="Cambria Math" w:hAnsi="Cambria Math"/>
                        <w:lang w:eastAsia="zh-CN"/>
                      </w:rPr>
                      <m:t>m</m:t>
                    </m:r>
                  </m:e>
                  <m:sup>
                    <m:r>
                      <w:rPr>
                        <w:rFonts w:ascii="Cambria Math" w:hAnsi="Cambria Math"/>
                        <w:lang w:eastAsia="zh-CN"/>
                      </w:rPr>
                      <m:t>*</m:t>
                    </m:r>
                  </m:sup>
                </m:sSup>
                <m:r>
                  <w:rPr>
                    <w:rFonts w:ascii="Cambria Math" w:hAnsi="Cambria Math"/>
                    <w:lang w:eastAsia="zh-CN"/>
                  </w:rPr>
                  <m:t>=3.2059×</m:t>
                </m:r>
                <m:f>
                  <m:fPr>
                    <m:ctrlPr>
                      <w:rPr>
                        <w:rFonts w:ascii="Cambria Math" w:hAnsi="Cambria Math"/>
                        <w:i/>
                        <w:lang w:eastAsia="zh-CN"/>
                      </w:rPr>
                    </m:ctrlPr>
                  </m:fPr>
                  <m:num>
                    <m:r>
                      <w:rPr>
                        <w:rFonts w:ascii="Cambria Math" w:hAnsi="Cambria Math"/>
                        <w:lang w:eastAsia="zh-CN"/>
                      </w:rPr>
                      <m:t>34.9</m:t>
                    </m:r>
                  </m:num>
                  <m:den>
                    <m:r>
                      <w:rPr>
                        <w:rFonts w:ascii="Cambria Math" w:hAnsi="Cambria Math"/>
                        <w:lang w:eastAsia="zh-CN"/>
                      </w:rPr>
                      <m:t>25</m:t>
                    </m:r>
                  </m:den>
                </m:f>
                <m:r>
                  <w:rPr>
                    <w:rFonts w:ascii="Cambria Math" w:hAnsi="Cambria Math"/>
                    <w:lang w:eastAsia="zh-CN"/>
                  </w:rPr>
                  <m:t>=4.475</m:t>
                </m:r>
              </m:oMath>
            </m:oMathPara>
          </w:p>
        </w:tc>
        <w:tc>
          <w:tcPr>
            <w:tcW w:w="4675" w:type="dxa"/>
            <w:vAlign w:val="center"/>
          </w:tcPr>
          <w:p w14:paraId="52FC0326" w14:textId="77777777" w:rsidR="00937015" w:rsidRDefault="00937015" w:rsidP="003545F2">
            <w:pPr>
              <w:rPr>
                <w:lang w:eastAsia="zh-CN"/>
              </w:rPr>
            </w:pPr>
            <w:r>
              <w:rPr>
                <w:lang w:eastAsia="zh-CN"/>
              </w:rPr>
              <w:t xml:space="preserve">LaTeX Code: </w:t>
            </w:r>
            <w:proofErr w:type="gramStart"/>
            <w:r>
              <w:rPr>
                <w:lang w:eastAsia="zh-CN"/>
              </w:rPr>
              <w:t>\[</w:t>
            </w:r>
            <w:proofErr w:type="gramEnd"/>
            <w:r>
              <w:rPr>
                <w:lang w:eastAsia="zh-CN"/>
              </w:rPr>
              <w:t xml:space="preserve"> Nm^* = 3.2059 \times \frac{</w:t>
            </w:r>
            <w:r w:rsidR="00EE7B8A">
              <w:rPr>
                <w:lang w:eastAsia="zh-CN"/>
              </w:rPr>
              <w:t>34.9</w:t>
            </w:r>
            <w:r>
              <w:rPr>
                <w:lang w:eastAsia="zh-CN"/>
              </w:rPr>
              <w:t>}{25}</w:t>
            </w:r>
            <w:r w:rsidR="00EE7B8A">
              <w:rPr>
                <w:lang w:eastAsia="zh-CN"/>
              </w:rPr>
              <w:t xml:space="preserve"> = 4.475</w:t>
            </w:r>
            <w:r>
              <w:rPr>
                <w:lang w:eastAsia="zh-CN"/>
              </w:rPr>
              <w:t xml:space="preserve"> \]</w:t>
            </w:r>
          </w:p>
        </w:tc>
      </w:tr>
    </w:tbl>
    <w:p w14:paraId="280069E5" w14:textId="77777777" w:rsidR="00283F45" w:rsidRDefault="00283F45" w:rsidP="00283F45">
      <w:pPr>
        <w:pStyle w:val="Heading1"/>
      </w:pPr>
      <w:r w:rsidRPr="00283F45">
        <w:t>Interpretation</w:t>
      </w:r>
    </w:p>
    <w:p w14:paraId="32EB3283" w14:textId="77777777" w:rsidR="008E6A8B" w:rsidRPr="00FB7974" w:rsidRDefault="00FB7974" w:rsidP="008E6A8B">
      <w:pPr>
        <w:rPr>
          <w:color w:val="auto"/>
          <w:sz w:val="24"/>
          <w:szCs w:val="24"/>
          <w:lang w:eastAsia="zh-CN"/>
        </w:rPr>
      </w:pPr>
      <w:r w:rsidRPr="00FB7974">
        <w:rPr>
          <w:shd w:val="clear" w:color="auto" w:fill="FFFFFF"/>
          <w:lang w:eastAsia="zh-CN"/>
        </w:rPr>
        <w:t>The value obtained for</w:t>
      </w:r>
      <w:r w:rsidR="00D05737">
        <w:rPr>
          <w:shd w:val="clear" w:color="auto" w:fill="FFFFFF"/>
          <w:lang w:eastAsia="zh-CN"/>
        </w:rPr>
        <w:t xml:space="preserve"> </w:t>
      </w:r>
      <w:proofErr w:type="spellStart"/>
      <w:r w:rsidRPr="00FB7974">
        <w:rPr>
          <w:i/>
          <w:iCs/>
          <w:shd w:val="clear" w:color="auto" w:fill="FFFFFF"/>
          <w:lang w:eastAsia="zh-CN"/>
        </w:rPr>
        <w:t>Nm</w:t>
      </w:r>
      <w:r w:rsidRPr="00FB7974">
        <w:rPr>
          <w:i/>
          <w:iCs/>
          <w:shd w:val="clear" w:color="auto" w:fill="FFFFFF"/>
          <w:vertAlign w:val="subscript"/>
          <w:lang w:eastAsia="zh-CN"/>
        </w:rPr>
        <w:t>est</w:t>
      </w:r>
      <w:proofErr w:type="spellEnd"/>
      <w:r w:rsidR="00D05737">
        <w:rPr>
          <w:shd w:val="clear" w:color="auto" w:fill="FFFFFF"/>
          <w:lang w:eastAsia="zh-CN"/>
        </w:rPr>
        <w:t xml:space="preserve"> </w:t>
      </w:r>
      <w:r w:rsidRPr="00FB7974">
        <w:rPr>
          <w:shd w:val="clear" w:color="auto" w:fill="FFFFFF"/>
          <w:lang w:eastAsia="zh-CN"/>
        </w:rPr>
        <w:t>based on the mean</w:t>
      </w:r>
      <w:r w:rsidR="00D05737">
        <w:rPr>
          <w:shd w:val="clear" w:color="auto" w:fill="FFFFFF"/>
          <w:lang w:eastAsia="zh-CN"/>
        </w:rPr>
        <w:t xml:space="preserve"> </w:t>
      </w:r>
      <w:r w:rsidRPr="00FB7974">
        <w:rPr>
          <w:i/>
          <w:iCs/>
          <w:shd w:val="clear" w:color="auto" w:fill="FFFFFF"/>
          <w:lang w:eastAsia="zh-CN"/>
        </w:rPr>
        <w:t>F</w:t>
      </w:r>
      <w:r w:rsidRPr="00FB7974">
        <w:rPr>
          <w:i/>
          <w:iCs/>
          <w:shd w:val="clear" w:color="auto" w:fill="FFFFFF"/>
          <w:vertAlign w:val="subscript"/>
          <w:lang w:eastAsia="zh-CN"/>
        </w:rPr>
        <w:t>ST</w:t>
      </w:r>
      <w:r w:rsidR="00D05737">
        <w:rPr>
          <w:shd w:val="clear" w:color="auto" w:fill="FFFFFF"/>
          <w:lang w:eastAsia="zh-CN"/>
        </w:rPr>
        <w:t xml:space="preserve"> </w:t>
      </w:r>
      <w:r w:rsidRPr="00FB7974">
        <w:rPr>
          <w:shd w:val="clear" w:color="auto" w:fill="FFFFFF"/>
          <w:lang w:eastAsia="zh-CN"/>
        </w:rPr>
        <w:t>(</w:t>
      </w:r>
      <w:proofErr w:type="spellStart"/>
      <w:r w:rsidRPr="00FB7974">
        <w:rPr>
          <w:i/>
          <w:iCs/>
          <w:shd w:val="clear" w:color="auto" w:fill="FFFFFF"/>
          <w:lang w:eastAsia="zh-CN"/>
        </w:rPr>
        <w:t>Nm</w:t>
      </w:r>
      <w:r w:rsidRPr="00FB7974">
        <w:rPr>
          <w:i/>
          <w:iCs/>
          <w:shd w:val="clear" w:color="auto" w:fill="FFFFFF"/>
          <w:vertAlign w:val="subscript"/>
          <w:lang w:eastAsia="zh-CN"/>
        </w:rPr>
        <w:t>est</w:t>
      </w:r>
      <w:proofErr w:type="spellEnd"/>
      <w:r w:rsidR="00D05737">
        <w:rPr>
          <w:shd w:val="clear" w:color="auto" w:fill="FFFFFF"/>
          <w:lang w:eastAsia="zh-CN"/>
        </w:rPr>
        <w:t xml:space="preserve"> </w:t>
      </w:r>
      <w:r w:rsidRPr="00FB7974">
        <w:rPr>
          <w:shd w:val="clear" w:color="auto" w:fill="FFFFFF"/>
          <w:lang w:eastAsia="zh-CN"/>
        </w:rPr>
        <w:t>= 4.96) indicates extensive gene flow among these five populations of</w:t>
      </w:r>
      <w:r w:rsidR="00D05737">
        <w:rPr>
          <w:shd w:val="clear" w:color="auto" w:fill="FFFFFF"/>
          <w:lang w:eastAsia="zh-CN"/>
        </w:rPr>
        <w:t xml:space="preserve"> </w:t>
      </w:r>
      <w:r w:rsidRPr="00FB7974">
        <w:rPr>
          <w:i/>
          <w:iCs/>
          <w:shd w:val="clear" w:color="auto" w:fill="FFFFFF"/>
          <w:lang w:eastAsia="zh-CN"/>
        </w:rPr>
        <w:t xml:space="preserve">A. </w:t>
      </w:r>
      <w:proofErr w:type="spellStart"/>
      <w:r w:rsidRPr="00FB7974">
        <w:rPr>
          <w:i/>
          <w:iCs/>
          <w:shd w:val="clear" w:color="auto" w:fill="FFFFFF"/>
          <w:lang w:eastAsia="zh-CN"/>
        </w:rPr>
        <w:t>aperta</w:t>
      </w:r>
      <w:proofErr w:type="spellEnd"/>
      <w:r w:rsidR="00D05737">
        <w:rPr>
          <w:shd w:val="clear" w:color="auto" w:fill="FFFFFF"/>
          <w:lang w:eastAsia="zh-CN"/>
        </w:rPr>
        <w:t xml:space="preserve"> </w:t>
      </w:r>
      <w:r w:rsidRPr="00FB7974">
        <w:rPr>
          <w:shd w:val="clear" w:color="auto" w:fill="FFFFFF"/>
          <w:lang w:eastAsia="zh-CN"/>
        </w:rPr>
        <w:t>(since</w:t>
      </w:r>
      <w:r w:rsidR="00D05737">
        <w:rPr>
          <w:shd w:val="clear" w:color="auto" w:fill="FFFFFF"/>
          <w:lang w:eastAsia="zh-CN"/>
        </w:rPr>
        <w:t xml:space="preserve"> </w:t>
      </w:r>
      <w:proofErr w:type="spellStart"/>
      <w:r w:rsidRPr="00FB7974">
        <w:rPr>
          <w:i/>
          <w:iCs/>
          <w:shd w:val="clear" w:color="auto" w:fill="FFFFFF"/>
          <w:lang w:eastAsia="zh-CN"/>
        </w:rPr>
        <w:t>Nm</w:t>
      </w:r>
      <w:r w:rsidRPr="00FB7974">
        <w:rPr>
          <w:i/>
          <w:iCs/>
          <w:shd w:val="clear" w:color="auto" w:fill="FFFFFF"/>
          <w:vertAlign w:val="subscript"/>
          <w:lang w:eastAsia="zh-CN"/>
        </w:rPr>
        <w:t>est</w:t>
      </w:r>
      <w:proofErr w:type="spellEnd"/>
      <w:r w:rsidR="00D05737">
        <w:rPr>
          <w:shd w:val="clear" w:color="auto" w:fill="FFFFFF"/>
          <w:lang w:eastAsia="zh-CN"/>
        </w:rPr>
        <w:t xml:space="preserve"> </w:t>
      </w:r>
      <w:r w:rsidRPr="00FB7974">
        <w:rPr>
          <w:shd w:val="clear" w:color="auto" w:fill="FFFFFF"/>
          <w:lang w:eastAsia="zh-CN"/>
        </w:rPr>
        <w:t>&gt; 4). Based on private alleles for the riparian woodland and its closest neighbor, the value for</w:t>
      </w:r>
      <w:r w:rsidR="005476D6">
        <w:rPr>
          <w:shd w:val="clear" w:color="auto" w:fill="FFFFFF"/>
          <w:lang w:eastAsia="zh-CN"/>
        </w:rPr>
        <w:t xml:space="preserve"> </w:t>
      </w:r>
      <w:r w:rsidRPr="00FB7974">
        <w:rPr>
          <w:i/>
          <w:iCs/>
          <w:shd w:val="clear" w:color="auto" w:fill="FFFFFF"/>
          <w:lang w:eastAsia="zh-CN"/>
        </w:rPr>
        <w:t>Nm</w:t>
      </w:r>
      <w:r w:rsidRPr="00FB7974">
        <w:rPr>
          <w:shd w:val="clear" w:color="auto" w:fill="FFFFFF"/>
          <w:lang w:eastAsia="zh-CN"/>
        </w:rPr>
        <w:t>* (4.475) also suggests that gene flow is exerting a significant influence (</w:t>
      </w:r>
      <w:r w:rsidRPr="00FB7974">
        <w:rPr>
          <w:i/>
          <w:iCs/>
          <w:shd w:val="clear" w:color="auto" w:fill="FFFFFF"/>
          <w:lang w:eastAsia="zh-CN"/>
        </w:rPr>
        <w:t>Nm</w:t>
      </w:r>
      <w:r w:rsidRPr="00FB7974">
        <w:rPr>
          <w:shd w:val="clear" w:color="auto" w:fill="FFFFFF"/>
          <w:lang w:eastAsia="zh-CN"/>
        </w:rPr>
        <w:t xml:space="preserve">* &gt; 4). </w:t>
      </w:r>
      <w:proofErr w:type="spellStart"/>
      <w:r w:rsidRPr="00FB7974">
        <w:rPr>
          <w:shd w:val="clear" w:color="auto" w:fill="FFFFFF"/>
          <w:lang w:eastAsia="zh-CN"/>
        </w:rPr>
        <w:t>Riechert</w:t>
      </w:r>
      <w:proofErr w:type="spellEnd"/>
      <w:r w:rsidRPr="00FB7974">
        <w:rPr>
          <w:shd w:val="clear" w:color="auto" w:fill="FFFFFF"/>
          <w:lang w:eastAsia="zh-CN"/>
        </w:rPr>
        <w:t xml:space="preserve"> also set up drift fence barriers with pitfall traps between the riparian woodland habitat and adjacent habitats to investigate actual movement of spiders between habitats, and found that there was indeed regular population exchange, although more spiders were moving into the riparian woodland habitat than out of it.</w:t>
      </w:r>
    </w:p>
    <w:p w14:paraId="03FD8789" w14:textId="77777777" w:rsidR="00283F45" w:rsidRDefault="00283F45" w:rsidP="00283F45">
      <w:pPr>
        <w:pStyle w:val="Heading1"/>
      </w:pPr>
      <w:r>
        <w:t>Conclusion</w:t>
      </w:r>
    </w:p>
    <w:p w14:paraId="3045523C" w14:textId="77777777" w:rsidR="008E6A8B" w:rsidRPr="00276780" w:rsidRDefault="00013E66" w:rsidP="008E6A8B">
      <w:pPr>
        <w:rPr>
          <w:color w:val="auto"/>
          <w:sz w:val="24"/>
          <w:szCs w:val="24"/>
          <w:lang w:eastAsia="zh-CN"/>
        </w:rPr>
      </w:pPr>
      <w:r w:rsidRPr="00013E66">
        <w:rPr>
          <w:shd w:val="clear" w:color="auto" w:fill="FFFFFF"/>
          <w:lang w:eastAsia="zh-CN"/>
        </w:rPr>
        <w:t xml:space="preserve">We would expect that in populations of riparian woodland spiders, where </w:t>
      </w:r>
      <w:proofErr w:type="spellStart"/>
      <w:r w:rsidRPr="00013E66">
        <w:rPr>
          <w:shd w:val="clear" w:color="auto" w:fill="FFFFFF"/>
          <w:lang w:eastAsia="zh-CN"/>
        </w:rPr>
        <w:t>aridlands</w:t>
      </w:r>
      <w:proofErr w:type="spellEnd"/>
      <w:r w:rsidRPr="00013E66">
        <w:rPr>
          <w:shd w:val="clear" w:color="auto" w:fill="FFFFFF"/>
          <w:lang w:eastAsia="zh-CN"/>
        </w:rPr>
        <w:t xml:space="preserve"> behaviors are maladaptive, these traits would be selected against and would not persist in the population. This expectation is borne out in the population of riparian woodland</w:t>
      </w:r>
      <w:r>
        <w:rPr>
          <w:shd w:val="clear" w:color="auto" w:fill="FFFFFF"/>
          <w:lang w:eastAsia="zh-CN"/>
        </w:rPr>
        <w:t xml:space="preserve"> </w:t>
      </w:r>
      <w:r w:rsidRPr="00013E66">
        <w:rPr>
          <w:i/>
          <w:iCs/>
          <w:shd w:val="clear" w:color="auto" w:fill="FFFFFF"/>
          <w:lang w:eastAsia="zh-CN"/>
        </w:rPr>
        <w:t xml:space="preserve">A. </w:t>
      </w:r>
      <w:proofErr w:type="spellStart"/>
      <w:r w:rsidRPr="00013E66">
        <w:rPr>
          <w:i/>
          <w:iCs/>
          <w:shd w:val="clear" w:color="auto" w:fill="FFFFFF"/>
          <w:lang w:eastAsia="zh-CN"/>
        </w:rPr>
        <w:t>aperta</w:t>
      </w:r>
      <w:proofErr w:type="spellEnd"/>
      <w:r>
        <w:rPr>
          <w:shd w:val="clear" w:color="auto" w:fill="FFFFFF"/>
          <w:lang w:eastAsia="zh-CN"/>
        </w:rPr>
        <w:t xml:space="preserve"> </w:t>
      </w:r>
      <w:r w:rsidRPr="00013E66">
        <w:rPr>
          <w:shd w:val="clear" w:color="auto" w:fill="FFFFFF"/>
          <w:lang w:eastAsia="zh-CN"/>
        </w:rPr>
        <w:t>in Texas, but not in the Arizona riparian woodland population. What makes the two populations different? The population in Texas is isolated from surrounding</w:t>
      </w:r>
      <w:r>
        <w:rPr>
          <w:shd w:val="clear" w:color="auto" w:fill="FFFFFF"/>
          <w:lang w:eastAsia="zh-CN"/>
        </w:rPr>
        <w:t xml:space="preserve"> </w:t>
      </w:r>
      <w:r w:rsidRPr="00013E66">
        <w:rPr>
          <w:i/>
          <w:iCs/>
          <w:shd w:val="clear" w:color="auto" w:fill="FFFFFF"/>
          <w:lang w:eastAsia="zh-CN"/>
        </w:rPr>
        <w:t xml:space="preserve">A. </w:t>
      </w:r>
      <w:proofErr w:type="spellStart"/>
      <w:r w:rsidRPr="00013E66">
        <w:rPr>
          <w:i/>
          <w:iCs/>
          <w:shd w:val="clear" w:color="auto" w:fill="FFFFFF"/>
          <w:lang w:eastAsia="zh-CN"/>
        </w:rPr>
        <w:t>aperta</w:t>
      </w:r>
      <w:proofErr w:type="spellEnd"/>
      <w:r>
        <w:rPr>
          <w:shd w:val="clear" w:color="auto" w:fill="FFFFFF"/>
          <w:lang w:eastAsia="zh-CN"/>
        </w:rPr>
        <w:t xml:space="preserve"> </w:t>
      </w:r>
      <w:r w:rsidRPr="00013E66">
        <w:rPr>
          <w:shd w:val="clear" w:color="auto" w:fill="FFFFFF"/>
          <w:lang w:eastAsia="zh-CN"/>
        </w:rPr>
        <w:t xml:space="preserve">populations, and therefore does not experience gene flow between itself and more </w:t>
      </w:r>
      <w:proofErr w:type="spellStart"/>
      <w:r w:rsidRPr="00013E66">
        <w:rPr>
          <w:shd w:val="clear" w:color="auto" w:fill="FFFFFF"/>
          <w:lang w:eastAsia="zh-CN"/>
        </w:rPr>
        <w:t>aridlands</w:t>
      </w:r>
      <w:proofErr w:type="spellEnd"/>
      <w:r w:rsidRPr="00013E66">
        <w:rPr>
          <w:shd w:val="clear" w:color="auto" w:fill="FFFFFF"/>
          <w:lang w:eastAsia="zh-CN"/>
        </w:rPr>
        <w:t xml:space="preserve"> populations. The Arizona population, however, experiences considerable gene flow from surrounding populations. As a result, genes for behavioral traits that are maladaptive in the woodland are continually introduced into the population, thus effectively swamping the action of natural selection.</w:t>
      </w:r>
    </w:p>
    <w:p w14:paraId="6E709BDD" w14:textId="77777777" w:rsidR="008E6A8B" w:rsidRDefault="008E6A8B" w:rsidP="00283F45">
      <w:pPr>
        <w:pStyle w:val="Heading1"/>
      </w:pPr>
      <w:r>
        <w:t>Additional Questions</w:t>
      </w:r>
    </w:p>
    <w:p w14:paraId="711865D8" w14:textId="77777777" w:rsidR="008E760F" w:rsidRDefault="008E760F" w:rsidP="008E760F">
      <w:pPr>
        <w:rPr>
          <w:lang w:eastAsia="zh-CN"/>
        </w:rPr>
      </w:pPr>
      <w:r>
        <w:t>1) Use the</w:t>
      </w:r>
      <w:r w:rsidR="00C25411">
        <w:t xml:space="preserve"> </w:t>
      </w:r>
      <w:r>
        <w:rPr>
          <w:i/>
          <w:iCs/>
        </w:rPr>
        <w:t>F</w:t>
      </w:r>
      <w:r>
        <w:rPr>
          <w:i/>
          <w:iCs/>
          <w:vertAlign w:val="subscript"/>
        </w:rPr>
        <w:t>ST</w:t>
      </w:r>
      <w:r w:rsidR="00C25411">
        <w:t xml:space="preserve"> </w:t>
      </w:r>
      <w:r>
        <w:t>values from Table 1 to calculate</w:t>
      </w:r>
      <w:r w:rsidR="00C25411">
        <w:t xml:space="preserve"> </w:t>
      </w:r>
      <w:proofErr w:type="spellStart"/>
      <w:r>
        <w:rPr>
          <w:i/>
          <w:iCs/>
        </w:rPr>
        <w:t>Nm</w:t>
      </w:r>
      <w:r>
        <w:rPr>
          <w:i/>
          <w:iCs/>
          <w:vertAlign w:val="subscript"/>
        </w:rPr>
        <w:t>est</w:t>
      </w:r>
      <w:proofErr w:type="spellEnd"/>
      <w:r w:rsidR="00C25411">
        <w:t xml:space="preserve"> </w:t>
      </w:r>
      <w:r>
        <w:t>for each locus (recall that these</w:t>
      </w:r>
      <w:r w:rsidR="00C25411">
        <w:t xml:space="preserve"> </w:t>
      </w:r>
      <w:r>
        <w:rPr>
          <w:i/>
          <w:iCs/>
        </w:rPr>
        <w:t>F</w:t>
      </w:r>
      <w:r>
        <w:rPr>
          <w:i/>
          <w:iCs/>
          <w:vertAlign w:val="subscript"/>
        </w:rPr>
        <w:t>ST</w:t>
      </w:r>
      <w:r w:rsidR="00C25411">
        <w:t xml:space="preserve"> </w:t>
      </w:r>
      <w:r>
        <w:t>values are based on all five populations). Do these values support the conclusion we made based on the mean</w:t>
      </w:r>
      <w:r w:rsidR="00C25411">
        <w:t xml:space="preserve"> </w:t>
      </w:r>
      <w:r>
        <w:rPr>
          <w:i/>
          <w:iCs/>
        </w:rPr>
        <w:t>F</w:t>
      </w:r>
      <w:r>
        <w:rPr>
          <w:i/>
          <w:iCs/>
          <w:vertAlign w:val="subscript"/>
        </w:rPr>
        <w:t>ST</w:t>
      </w:r>
      <w:r>
        <w:t>?</w:t>
      </w:r>
    </w:p>
    <w:p w14:paraId="5007F359" w14:textId="77777777" w:rsidR="008E6A8B" w:rsidRPr="008E6A8B" w:rsidRDefault="008E760F" w:rsidP="008E6A8B">
      <w:r>
        <w:t xml:space="preserve">2) Use the </w:t>
      </w:r>
      <w:proofErr w:type="gramStart"/>
      <w:r>
        <w:rPr>
          <w:i/>
          <w:iCs/>
        </w:rPr>
        <w:t>p</w:t>
      </w:r>
      <w:r>
        <w:t>(</w:t>
      </w:r>
      <w:proofErr w:type="gramEnd"/>
      <w:r>
        <w:t>1) values from Table 2 to calculate</w:t>
      </w:r>
      <w:r w:rsidR="00C25411">
        <w:t xml:space="preserve"> </w:t>
      </w:r>
      <w:r>
        <w:rPr>
          <w:i/>
          <w:iCs/>
        </w:rPr>
        <w:t>Nm</w:t>
      </w:r>
      <w:r>
        <w:t>*. What trend in the estimate of gene flow (</w:t>
      </w:r>
      <w:r>
        <w:rPr>
          <w:i/>
          <w:iCs/>
        </w:rPr>
        <w:t>Nm</w:t>
      </w:r>
      <w:r>
        <w:t xml:space="preserve">*) do you observe as more distant populations are included in the analysis? Does this estimate of gene flow for all five populations (based on the mean frequency of alleles found in only one population [private alleles]) lead to the same conclusion as the estimate of gene flow for all five populations based on the mean value of </w:t>
      </w:r>
      <w:r>
        <w:rPr>
          <w:i/>
          <w:iCs/>
        </w:rPr>
        <w:t>F</w:t>
      </w:r>
      <w:r>
        <w:rPr>
          <w:i/>
          <w:iCs/>
          <w:vertAlign w:val="subscript"/>
        </w:rPr>
        <w:t>ST</w:t>
      </w:r>
      <w:r>
        <w:t>?</w:t>
      </w:r>
    </w:p>
    <w:p w14:paraId="5C0F7C1D" w14:textId="77777777" w:rsidR="00283F45" w:rsidRDefault="00283F45" w:rsidP="00283F45">
      <w:pPr>
        <w:pStyle w:val="Heading1"/>
      </w:pPr>
      <w:r>
        <w:t>Source</w:t>
      </w:r>
    </w:p>
    <w:p w14:paraId="59195C1F" w14:textId="77777777" w:rsidR="00C2011B" w:rsidRDefault="00C2011B" w:rsidP="00C2011B">
      <w:proofErr w:type="spellStart"/>
      <w:r>
        <w:lastRenderedPageBreak/>
        <w:t>Futuyma</w:t>
      </w:r>
      <w:proofErr w:type="spellEnd"/>
      <w:r>
        <w:t xml:space="preserve">, D. J. 1986. </w:t>
      </w:r>
      <w:r w:rsidRPr="00720E9F">
        <w:rPr>
          <w:i/>
        </w:rPr>
        <w:t>Evolutionary Biology, 2nd ed</w:t>
      </w:r>
      <w:r>
        <w:t>. Sinauer Associates, Inc. Sunderland, MA.</w:t>
      </w:r>
    </w:p>
    <w:p w14:paraId="3CEFE734" w14:textId="77777777" w:rsidR="00C2011B" w:rsidRDefault="00C2011B" w:rsidP="00C2011B">
      <w:proofErr w:type="spellStart"/>
      <w:r>
        <w:t>Riechert</w:t>
      </w:r>
      <w:proofErr w:type="spellEnd"/>
      <w:r>
        <w:t xml:space="preserve">, S. E. 1993. Investigation of potential gene flow limitation of behavioral adaptation in an </w:t>
      </w:r>
      <w:proofErr w:type="spellStart"/>
      <w:r>
        <w:t>aridlands</w:t>
      </w:r>
      <w:proofErr w:type="spellEnd"/>
      <w:r>
        <w:t xml:space="preserve"> spider. </w:t>
      </w:r>
      <w:r w:rsidRPr="00C2011B">
        <w:rPr>
          <w:i/>
        </w:rPr>
        <w:t>Behavioral Ecology and Sociobiology 32</w:t>
      </w:r>
      <w:r>
        <w:t>:355-363.</w:t>
      </w:r>
    </w:p>
    <w:p w14:paraId="5A859CD7" w14:textId="77777777" w:rsidR="008E6A8B" w:rsidRDefault="00C2011B" w:rsidP="00C2011B">
      <w:r>
        <w:t xml:space="preserve">Wright, S. 1931. Evolution in Mendelian populations. </w:t>
      </w:r>
      <w:r w:rsidRPr="00C2011B">
        <w:rPr>
          <w:i/>
        </w:rPr>
        <w:t>Genetics 16</w:t>
      </w:r>
      <w:r>
        <w:t>:97-159.</w:t>
      </w:r>
    </w:p>
    <w:p w14:paraId="52DED3F9" w14:textId="77777777" w:rsidR="00A207B5" w:rsidRPr="00283F45" w:rsidRDefault="00A207B5" w:rsidP="00283F45">
      <w:pPr>
        <w:pStyle w:val="Heading1"/>
      </w:pPr>
      <w:r w:rsidRPr="00283F45">
        <w:t>About this Resource</w:t>
      </w:r>
    </w:p>
    <w:p w14:paraId="4976D890"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6F5EF5BC"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29061CF1"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412D8" w14:textId="77777777" w:rsidR="0013285A" w:rsidRDefault="0013285A" w:rsidP="00A207B5">
      <w:r>
        <w:separator/>
      </w:r>
    </w:p>
  </w:endnote>
  <w:endnote w:type="continuationSeparator" w:id="0">
    <w:p w14:paraId="07543940" w14:textId="77777777" w:rsidR="0013285A" w:rsidRDefault="0013285A" w:rsidP="00A207B5">
      <w:r>
        <w:continuationSeparator/>
      </w:r>
    </w:p>
  </w:endnote>
  <w:endnote w:id="1">
    <w:p w14:paraId="01C036EF" w14:textId="77777777" w:rsidR="00A207B5" w:rsidRDefault="00A207B5" w:rsidP="00A207B5">
      <w:pPr>
        <w:pStyle w:val="EndnoteText"/>
      </w:pPr>
      <w:r>
        <w:rPr>
          <w:rStyle w:val="EndnoteReference"/>
        </w:rPr>
        <w:endnoteRef/>
      </w:r>
      <w:r>
        <w:t xml:space="preserve"> http://www.tiem.utk.edu/~gross/bioed/</w:t>
      </w:r>
    </w:p>
  </w:endnote>
  <w:endnote w:id="2">
    <w:p w14:paraId="460825BF" w14:textId="77777777" w:rsidR="00A207B5" w:rsidRDefault="00A207B5" w:rsidP="00A207B5">
      <w:pPr>
        <w:pStyle w:val="EndnoteText"/>
      </w:pPr>
      <w:r>
        <w:rPr>
          <w:rStyle w:val="EndnoteReference"/>
        </w:rPr>
        <w:endnoteRef/>
      </w:r>
      <w:r>
        <w:t xml:space="preserve"> https://qubeshub.org/community/groups/quantbioatcc/</w:t>
      </w:r>
    </w:p>
  </w:endnote>
  <w:endnote w:id="3">
    <w:p w14:paraId="419CEFB3"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3CA4724E" w14:textId="6E34DC84" w:rsidR="00A207B5" w:rsidRDefault="00A207B5" w:rsidP="00A207B5">
      <w:pPr>
        <w:pStyle w:val="EndnoteText"/>
      </w:pPr>
      <w:r>
        <w:rPr>
          <w:rStyle w:val="EndnoteReference"/>
        </w:rPr>
        <w:endnoteRef/>
      </w:r>
      <w:r>
        <w:t xml:space="preserve"> </w:t>
      </w:r>
      <w:r w:rsidRPr="00B50C5B">
        <w:t>https://qubeshub.org/qubesresources/publications/</w:t>
      </w:r>
      <w:r w:rsidR="00182485">
        <w:t>1</w:t>
      </w:r>
      <w:r w:rsidR="007C14A5">
        <w:t>0</w:t>
      </w:r>
      <w:bookmarkStart w:id="0" w:name="_GoBack"/>
      <w:bookmarkEnd w:id="0"/>
      <w:r w:rsidR="00182485">
        <w:t>53</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20258" w14:textId="77777777" w:rsidR="0013285A" w:rsidRDefault="0013285A" w:rsidP="00A207B5">
      <w:r>
        <w:separator/>
      </w:r>
    </w:p>
  </w:footnote>
  <w:footnote w:type="continuationSeparator" w:id="0">
    <w:p w14:paraId="188751AE" w14:textId="77777777" w:rsidR="0013285A" w:rsidRDefault="0013285A"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AD"/>
    <w:rsid w:val="00013E66"/>
    <w:rsid w:val="00043347"/>
    <w:rsid w:val="000D79DD"/>
    <w:rsid w:val="0013285A"/>
    <w:rsid w:val="00182485"/>
    <w:rsid w:val="001E2492"/>
    <w:rsid w:val="0020682C"/>
    <w:rsid w:val="00262FBF"/>
    <w:rsid w:val="00276780"/>
    <w:rsid w:val="00283F45"/>
    <w:rsid w:val="002C71F1"/>
    <w:rsid w:val="00302242"/>
    <w:rsid w:val="00332FD5"/>
    <w:rsid w:val="003607A8"/>
    <w:rsid w:val="00373007"/>
    <w:rsid w:val="00424F76"/>
    <w:rsid w:val="004356C6"/>
    <w:rsid w:val="0047045E"/>
    <w:rsid w:val="004C5A48"/>
    <w:rsid w:val="005476D6"/>
    <w:rsid w:val="005F2BAD"/>
    <w:rsid w:val="00621462"/>
    <w:rsid w:val="006457A2"/>
    <w:rsid w:val="00720E9F"/>
    <w:rsid w:val="00735464"/>
    <w:rsid w:val="007610FE"/>
    <w:rsid w:val="007B181E"/>
    <w:rsid w:val="007C14A5"/>
    <w:rsid w:val="007F0B29"/>
    <w:rsid w:val="00817E41"/>
    <w:rsid w:val="008723EF"/>
    <w:rsid w:val="00893506"/>
    <w:rsid w:val="00897E96"/>
    <w:rsid w:val="008B0F21"/>
    <w:rsid w:val="008C6F56"/>
    <w:rsid w:val="008E6A8B"/>
    <w:rsid w:val="008E760F"/>
    <w:rsid w:val="00937015"/>
    <w:rsid w:val="00967C46"/>
    <w:rsid w:val="009F2F12"/>
    <w:rsid w:val="00A1710A"/>
    <w:rsid w:val="00A207B5"/>
    <w:rsid w:val="00A67C31"/>
    <w:rsid w:val="00AB633C"/>
    <w:rsid w:val="00B46071"/>
    <w:rsid w:val="00B65485"/>
    <w:rsid w:val="00B87D2D"/>
    <w:rsid w:val="00BA2565"/>
    <w:rsid w:val="00BC1527"/>
    <w:rsid w:val="00BD3835"/>
    <w:rsid w:val="00BE3B85"/>
    <w:rsid w:val="00BF5539"/>
    <w:rsid w:val="00C2011B"/>
    <w:rsid w:val="00C25411"/>
    <w:rsid w:val="00C36049"/>
    <w:rsid w:val="00C94598"/>
    <w:rsid w:val="00CD3585"/>
    <w:rsid w:val="00D05737"/>
    <w:rsid w:val="00D55794"/>
    <w:rsid w:val="00DA0E16"/>
    <w:rsid w:val="00DB5A46"/>
    <w:rsid w:val="00E92C55"/>
    <w:rsid w:val="00ED599B"/>
    <w:rsid w:val="00EE7B8A"/>
    <w:rsid w:val="00F47799"/>
    <w:rsid w:val="00FB45D4"/>
    <w:rsid w:val="00FB7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4E763D"/>
  <w15:chartTrackingRefBased/>
  <w15:docId w15:val="{7EC9CC88-8DDD-F54F-B65E-68E76F4C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4356C6"/>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ED5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59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9406">
      <w:bodyDiv w:val="1"/>
      <w:marLeft w:val="0"/>
      <w:marRight w:val="0"/>
      <w:marTop w:val="0"/>
      <w:marBottom w:val="0"/>
      <w:divBdr>
        <w:top w:val="none" w:sz="0" w:space="0" w:color="auto"/>
        <w:left w:val="none" w:sz="0" w:space="0" w:color="auto"/>
        <w:bottom w:val="none" w:sz="0" w:space="0" w:color="auto"/>
        <w:right w:val="none" w:sz="0" w:space="0" w:color="auto"/>
      </w:divBdr>
    </w:div>
    <w:div w:id="339894464">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648171441">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854736238">
      <w:bodyDiv w:val="1"/>
      <w:marLeft w:val="0"/>
      <w:marRight w:val="0"/>
      <w:marTop w:val="0"/>
      <w:marBottom w:val="0"/>
      <w:divBdr>
        <w:top w:val="none" w:sz="0" w:space="0" w:color="auto"/>
        <w:left w:val="none" w:sz="0" w:space="0" w:color="auto"/>
        <w:bottom w:val="none" w:sz="0" w:space="0" w:color="auto"/>
        <w:right w:val="none" w:sz="0" w:space="0" w:color="auto"/>
      </w:divBdr>
    </w:div>
    <w:div w:id="1219973611">
      <w:bodyDiv w:val="1"/>
      <w:marLeft w:val="0"/>
      <w:marRight w:val="0"/>
      <w:marTop w:val="0"/>
      <w:marBottom w:val="0"/>
      <w:divBdr>
        <w:top w:val="none" w:sz="0" w:space="0" w:color="auto"/>
        <w:left w:val="none" w:sz="0" w:space="0" w:color="auto"/>
        <w:bottom w:val="none" w:sz="0" w:space="0" w:color="auto"/>
        <w:right w:val="none" w:sz="0" w:space="0" w:color="auto"/>
      </w:divBdr>
    </w:div>
    <w:div w:id="179899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17</TotalTime>
  <Pages>6</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46</cp:revision>
  <dcterms:created xsi:type="dcterms:W3CDTF">2019-01-17T01:06:00Z</dcterms:created>
  <dcterms:modified xsi:type="dcterms:W3CDTF">2019-02-04T04:52:00Z</dcterms:modified>
</cp:coreProperties>
</file>