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5DC208" w14:textId="77777777" w:rsidR="00A207B5" w:rsidRPr="00A207B5" w:rsidRDefault="003817A6" w:rsidP="00A207B5">
      <w:pPr>
        <w:pStyle w:val="Title"/>
      </w:pPr>
      <w:r>
        <w:t>Cohort Life Tables</w:t>
      </w:r>
    </w:p>
    <w:p w14:paraId="20E988C5" w14:textId="77777777" w:rsidR="00A207B5" w:rsidRDefault="00A207B5" w:rsidP="00283F45">
      <w:pPr>
        <w:pStyle w:val="Heading1"/>
      </w:pPr>
      <w:r w:rsidRPr="00283F45">
        <w:t>Introduction</w:t>
      </w:r>
    </w:p>
    <w:p w14:paraId="3A30BB91" w14:textId="77777777" w:rsidR="008E6A8B" w:rsidRPr="008E6A8B" w:rsidRDefault="009973F8" w:rsidP="008E6A8B">
      <w:r w:rsidRPr="009973F8">
        <w:t>Demographic processes such as births, deaths, immigration, and emigration, are those that affect the size and composition of a population. The timing of these processes also plays a critical role; a population with high juvenile mortality will have a very different structure from a population with high mortality in the post- reproductive years. Life tables are tables of data on survivorship and fecundity of individuals within a population. A standard method is to collect data on a cohort, or group of individuals all born in the same time period. Life tables constructed this way are called cohort life tables. They can then be used to determine age- or stage-specific fecundity and mortality rates, survivorship, and basic reproductive rates, which in turn can be compared from cohort to cohort enabling an analysis of their annual variation.</w:t>
      </w:r>
    </w:p>
    <w:p w14:paraId="7A9886E2" w14:textId="77777777" w:rsidR="00283F45" w:rsidRDefault="00283F45" w:rsidP="00283F45">
      <w:pPr>
        <w:pStyle w:val="Heading1"/>
      </w:pPr>
      <w:r w:rsidRPr="00283F45">
        <w:t>Importance</w:t>
      </w:r>
    </w:p>
    <w:p w14:paraId="487B8ACE" w14:textId="77777777" w:rsidR="008E6A8B" w:rsidRPr="008E6A8B" w:rsidRDefault="00F5758D" w:rsidP="008E6A8B">
      <w:r w:rsidRPr="00F5758D">
        <w:t>Understanding these demographic processes and how they affect populations is a central concern of population and conservation biologists.</w:t>
      </w:r>
    </w:p>
    <w:p w14:paraId="4688E0AB" w14:textId="77777777" w:rsidR="00283F45" w:rsidRDefault="00283F45" w:rsidP="00283F45">
      <w:pPr>
        <w:pStyle w:val="Heading1"/>
      </w:pPr>
      <w:r>
        <w:t>Questions</w:t>
      </w:r>
    </w:p>
    <w:p w14:paraId="0C1FE62D" w14:textId="77777777" w:rsidR="008E6A8B" w:rsidRPr="008E6A8B" w:rsidRDefault="00B33B30" w:rsidP="008E6A8B">
      <w:r w:rsidRPr="00B33B30">
        <w:t>How do life tables help us to understand the demography of a population?</w:t>
      </w:r>
    </w:p>
    <w:p w14:paraId="3ECE0EF6" w14:textId="77777777" w:rsidR="00A431AF" w:rsidRPr="00A431AF" w:rsidRDefault="00283F45" w:rsidP="00A431AF">
      <w:pPr>
        <w:pStyle w:val="Heading1"/>
      </w:pPr>
      <w:r>
        <w:t>Variables</w:t>
      </w:r>
    </w:p>
    <w:tbl>
      <w:tblPr>
        <w:tblW w:w="702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00" w:type="dxa"/>
          <w:left w:w="100" w:type="dxa"/>
          <w:bottom w:w="100" w:type="dxa"/>
          <w:right w:w="100" w:type="dxa"/>
        </w:tblCellMar>
        <w:tblLook w:val="04A0" w:firstRow="1" w:lastRow="0" w:firstColumn="1" w:lastColumn="0" w:noHBand="0" w:noVBand="1"/>
      </w:tblPr>
      <w:tblGrid>
        <w:gridCol w:w="679"/>
        <w:gridCol w:w="6341"/>
      </w:tblGrid>
      <w:tr w:rsidR="00A431AF" w:rsidRPr="00A431AF" w14:paraId="59305BAE" w14:textId="77777777" w:rsidTr="00A431AF">
        <w:trPr>
          <w:trHeight w:val="240"/>
          <w:tblCellSpacing w:w="15" w:type="dxa"/>
        </w:trPr>
        <w:tc>
          <w:tcPr>
            <w:tcW w:w="400" w:type="pct"/>
            <w:shd w:val="clear" w:color="auto" w:fill="FFFFFF"/>
            <w:hideMark/>
          </w:tcPr>
          <w:p w14:paraId="0220B934" w14:textId="77777777" w:rsidR="00A431AF" w:rsidRPr="00A431AF" w:rsidRDefault="00A431AF" w:rsidP="00A431AF">
            <w:pPr>
              <w:pStyle w:val="TableContent"/>
              <w:rPr>
                <w:lang w:eastAsia="zh-CN"/>
              </w:rPr>
            </w:pPr>
            <w:r w:rsidRPr="00A431AF">
              <w:rPr>
                <w:lang w:eastAsia="zh-CN"/>
              </w:rPr>
              <w:t>x</w:t>
            </w:r>
          </w:p>
        </w:tc>
        <w:tc>
          <w:tcPr>
            <w:tcW w:w="4600" w:type="pct"/>
            <w:shd w:val="clear" w:color="auto" w:fill="FFFFFF"/>
            <w:hideMark/>
          </w:tcPr>
          <w:p w14:paraId="3C6DBE75" w14:textId="77777777" w:rsidR="00A431AF" w:rsidRPr="00A431AF" w:rsidRDefault="00A431AF" w:rsidP="00A431AF">
            <w:pPr>
              <w:pStyle w:val="TableContent"/>
              <w:rPr>
                <w:lang w:eastAsia="zh-CN"/>
              </w:rPr>
            </w:pPr>
            <w:r w:rsidRPr="00A431AF">
              <w:rPr>
                <w:lang w:eastAsia="zh-CN"/>
              </w:rPr>
              <w:t>life stage or age class</w:t>
            </w:r>
          </w:p>
        </w:tc>
      </w:tr>
      <w:tr w:rsidR="00A431AF" w:rsidRPr="00A431AF" w14:paraId="173C0F7D" w14:textId="77777777" w:rsidTr="00A431AF">
        <w:trPr>
          <w:trHeight w:val="240"/>
          <w:tblCellSpacing w:w="15" w:type="dxa"/>
        </w:trPr>
        <w:tc>
          <w:tcPr>
            <w:tcW w:w="400" w:type="pct"/>
            <w:shd w:val="clear" w:color="auto" w:fill="FFFFFF"/>
            <w:hideMark/>
          </w:tcPr>
          <w:p w14:paraId="2F3A1680" w14:textId="77777777" w:rsidR="00A431AF" w:rsidRPr="00A431AF" w:rsidRDefault="00A431AF" w:rsidP="00A431AF">
            <w:pPr>
              <w:pStyle w:val="TableContent"/>
              <w:rPr>
                <w:lang w:eastAsia="zh-CN"/>
              </w:rPr>
            </w:pPr>
            <w:r w:rsidRPr="00A431AF">
              <w:rPr>
                <w:lang w:eastAsia="zh-CN"/>
              </w:rPr>
              <w:t>a</w:t>
            </w:r>
            <w:r w:rsidRPr="00A431AF">
              <w:rPr>
                <w:vertAlign w:val="subscript"/>
                <w:lang w:eastAsia="zh-CN"/>
              </w:rPr>
              <w:t>x</w:t>
            </w:r>
          </w:p>
        </w:tc>
        <w:tc>
          <w:tcPr>
            <w:tcW w:w="4600" w:type="pct"/>
            <w:shd w:val="clear" w:color="auto" w:fill="FFFFFF"/>
            <w:hideMark/>
          </w:tcPr>
          <w:p w14:paraId="627E02BE" w14:textId="77777777" w:rsidR="00A431AF" w:rsidRPr="00A431AF" w:rsidRDefault="00A431AF" w:rsidP="00A431AF">
            <w:pPr>
              <w:pStyle w:val="TableContent"/>
              <w:rPr>
                <w:lang w:eastAsia="zh-CN"/>
              </w:rPr>
            </w:pPr>
            <w:r w:rsidRPr="00A431AF">
              <w:rPr>
                <w:lang w:eastAsia="zh-CN"/>
              </w:rPr>
              <w:t>total number of individuals observed at each stage or class</w:t>
            </w:r>
          </w:p>
        </w:tc>
      </w:tr>
      <w:tr w:rsidR="00A431AF" w:rsidRPr="00A431AF" w14:paraId="1DFC1B04" w14:textId="77777777" w:rsidTr="00A431AF">
        <w:trPr>
          <w:trHeight w:val="240"/>
          <w:tblCellSpacing w:w="15" w:type="dxa"/>
        </w:trPr>
        <w:tc>
          <w:tcPr>
            <w:tcW w:w="400" w:type="pct"/>
            <w:shd w:val="clear" w:color="auto" w:fill="FFFFFF"/>
            <w:hideMark/>
          </w:tcPr>
          <w:p w14:paraId="762AE76D" w14:textId="77777777" w:rsidR="00A431AF" w:rsidRPr="00A431AF" w:rsidRDefault="00A431AF" w:rsidP="00A431AF">
            <w:pPr>
              <w:pStyle w:val="TableContent"/>
              <w:rPr>
                <w:lang w:eastAsia="zh-CN"/>
              </w:rPr>
            </w:pPr>
            <w:r w:rsidRPr="00A431AF">
              <w:rPr>
                <w:lang w:eastAsia="zh-CN"/>
              </w:rPr>
              <w:t>l</w:t>
            </w:r>
            <w:r w:rsidRPr="00A431AF">
              <w:rPr>
                <w:vertAlign w:val="subscript"/>
                <w:lang w:eastAsia="zh-CN"/>
              </w:rPr>
              <w:t>x</w:t>
            </w:r>
          </w:p>
        </w:tc>
        <w:tc>
          <w:tcPr>
            <w:tcW w:w="4600" w:type="pct"/>
            <w:shd w:val="clear" w:color="auto" w:fill="FFFFFF"/>
            <w:hideMark/>
          </w:tcPr>
          <w:p w14:paraId="66FD4991" w14:textId="77777777" w:rsidR="00A431AF" w:rsidRPr="00A431AF" w:rsidRDefault="00A431AF" w:rsidP="00A431AF">
            <w:pPr>
              <w:pStyle w:val="TableContent"/>
              <w:rPr>
                <w:lang w:eastAsia="zh-CN"/>
              </w:rPr>
            </w:pPr>
            <w:r w:rsidRPr="00A431AF">
              <w:rPr>
                <w:lang w:eastAsia="zh-CN"/>
              </w:rPr>
              <w:t>proportion of original number of individuals surviving to the next stage or class; survivorship</w:t>
            </w:r>
          </w:p>
        </w:tc>
      </w:tr>
      <w:tr w:rsidR="00A431AF" w:rsidRPr="00A431AF" w14:paraId="59CB1F4F" w14:textId="77777777" w:rsidTr="00A431AF">
        <w:trPr>
          <w:trHeight w:val="240"/>
          <w:tblCellSpacing w:w="15" w:type="dxa"/>
        </w:trPr>
        <w:tc>
          <w:tcPr>
            <w:tcW w:w="400" w:type="pct"/>
            <w:shd w:val="clear" w:color="auto" w:fill="FFFFFF"/>
            <w:hideMark/>
          </w:tcPr>
          <w:p w14:paraId="6BA52C09" w14:textId="77777777" w:rsidR="00A431AF" w:rsidRPr="00A431AF" w:rsidRDefault="00A431AF" w:rsidP="00A431AF">
            <w:pPr>
              <w:pStyle w:val="TableContent"/>
              <w:rPr>
                <w:lang w:eastAsia="zh-CN"/>
              </w:rPr>
            </w:pPr>
            <w:r w:rsidRPr="00A431AF">
              <w:rPr>
                <w:lang w:eastAsia="zh-CN"/>
              </w:rPr>
              <w:t>d</w:t>
            </w:r>
            <w:r w:rsidRPr="00A431AF">
              <w:rPr>
                <w:vertAlign w:val="subscript"/>
                <w:lang w:eastAsia="zh-CN"/>
              </w:rPr>
              <w:t>x</w:t>
            </w:r>
          </w:p>
        </w:tc>
        <w:tc>
          <w:tcPr>
            <w:tcW w:w="4600" w:type="pct"/>
            <w:shd w:val="clear" w:color="auto" w:fill="FFFFFF"/>
            <w:hideMark/>
          </w:tcPr>
          <w:p w14:paraId="3A974F54" w14:textId="77777777" w:rsidR="00A431AF" w:rsidRPr="00A431AF" w:rsidRDefault="00A431AF" w:rsidP="00A431AF">
            <w:pPr>
              <w:pStyle w:val="TableContent"/>
              <w:rPr>
                <w:lang w:eastAsia="zh-CN"/>
              </w:rPr>
            </w:pPr>
            <w:r w:rsidRPr="00A431AF">
              <w:rPr>
                <w:lang w:eastAsia="zh-CN"/>
              </w:rPr>
              <w:t>proportion of original number of individuals dying during each stage or class; mortality</w:t>
            </w:r>
          </w:p>
        </w:tc>
      </w:tr>
      <w:tr w:rsidR="00A431AF" w:rsidRPr="00A431AF" w14:paraId="00AC196F" w14:textId="77777777" w:rsidTr="00A431AF">
        <w:trPr>
          <w:trHeight w:val="240"/>
          <w:tblCellSpacing w:w="15" w:type="dxa"/>
        </w:trPr>
        <w:tc>
          <w:tcPr>
            <w:tcW w:w="400" w:type="pct"/>
            <w:shd w:val="clear" w:color="auto" w:fill="FFFFFF"/>
            <w:hideMark/>
          </w:tcPr>
          <w:p w14:paraId="607CF2B6" w14:textId="77777777" w:rsidR="00A431AF" w:rsidRPr="00A431AF" w:rsidRDefault="00A431AF" w:rsidP="00A431AF">
            <w:pPr>
              <w:pStyle w:val="TableContent"/>
              <w:rPr>
                <w:lang w:eastAsia="zh-CN"/>
              </w:rPr>
            </w:pPr>
            <w:proofErr w:type="spellStart"/>
            <w:r w:rsidRPr="00A431AF">
              <w:rPr>
                <w:lang w:eastAsia="zh-CN"/>
              </w:rPr>
              <w:t>q</w:t>
            </w:r>
            <w:r w:rsidRPr="00A431AF">
              <w:rPr>
                <w:vertAlign w:val="subscript"/>
                <w:lang w:eastAsia="zh-CN"/>
              </w:rPr>
              <w:t>x</w:t>
            </w:r>
            <w:proofErr w:type="spellEnd"/>
          </w:p>
        </w:tc>
        <w:tc>
          <w:tcPr>
            <w:tcW w:w="4600" w:type="pct"/>
            <w:shd w:val="clear" w:color="auto" w:fill="FFFFFF"/>
            <w:hideMark/>
          </w:tcPr>
          <w:p w14:paraId="3478283A" w14:textId="77777777" w:rsidR="00A431AF" w:rsidRPr="00A431AF" w:rsidRDefault="00A431AF" w:rsidP="00A431AF">
            <w:pPr>
              <w:pStyle w:val="TableContent"/>
              <w:rPr>
                <w:lang w:eastAsia="zh-CN"/>
              </w:rPr>
            </w:pPr>
            <w:r w:rsidRPr="00A431AF">
              <w:rPr>
                <w:lang w:eastAsia="zh-CN"/>
              </w:rPr>
              <w:t>mortality rate for each stage or class</w:t>
            </w:r>
          </w:p>
        </w:tc>
      </w:tr>
      <w:tr w:rsidR="00A431AF" w:rsidRPr="00A431AF" w14:paraId="6949EF41" w14:textId="77777777" w:rsidTr="00A431AF">
        <w:trPr>
          <w:trHeight w:val="240"/>
          <w:tblCellSpacing w:w="15" w:type="dxa"/>
        </w:trPr>
        <w:tc>
          <w:tcPr>
            <w:tcW w:w="400" w:type="pct"/>
            <w:shd w:val="clear" w:color="auto" w:fill="FFFFFF"/>
            <w:hideMark/>
          </w:tcPr>
          <w:p w14:paraId="65585B10" w14:textId="77777777" w:rsidR="00A431AF" w:rsidRPr="00A431AF" w:rsidRDefault="00A431AF" w:rsidP="00A431AF">
            <w:pPr>
              <w:pStyle w:val="TableContent"/>
              <w:rPr>
                <w:lang w:eastAsia="zh-CN"/>
              </w:rPr>
            </w:pPr>
            <w:proofErr w:type="spellStart"/>
            <w:r w:rsidRPr="00A431AF">
              <w:rPr>
                <w:lang w:eastAsia="zh-CN"/>
              </w:rPr>
              <w:t>k</w:t>
            </w:r>
            <w:r w:rsidRPr="00A431AF">
              <w:rPr>
                <w:vertAlign w:val="subscript"/>
                <w:lang w:eastAsia="zh-CN"/>
              </w:rPr>
              <w:t>x</w:t>
            </w:r>
            <w:proofErr w:type="spellEnd"/>
          </w:p>
        </w:tc>
        <w:tc>
          <w:tcPr>
            <w:tcW w:w="4600" w:type="pct"/>
            <w:shd w:val="clear" w:color="auto" w:fill="FFFFFF"/>
            <w:hideMark/>
          </w:tcPr>
          <w:p w14:paraId="09AA674F" w14:textId="77777777" w:rsidR="00A431AF" w:rsidRPr="00A431AF" w:rsidRDefault="00A431AF" w:rsidP="00A431AF">
            <w:pPr>
              <w:pStyle w:val="TableContent"/>
              <w:rPr>
                <w:lang w:eastAsia="zh-CN"/>
              </w:rPr>
            </w:pPr>
            <w:r w:rsidRPr="00A431AF">
              <w:rPr>
                <w:lang w:eastAsia="zh-CN"/>
              </w:rPr>
              <w:t>"killing power;" </w:t>
            </w:r>
          </w:p>
        </w:tc>
      </w:tr>
      <w:tr w:rsidR="00A431AF" w:rsidRPr="00A431AF" w14:paraId="57B46D76" w14:textId="77777777" w:rsidTr="00A431AF">
        <w:trPr>
          <w:trHeight w:val="240"/>
          <w:tblCellSpacing w:w="15" w:type="dxa"/>
        </w:trPr>
        <w:tc>
          <w:tcPr>
            <w:tcW w:w="400" w:type="pct"/>
            <w:shd w:val="clear" w:color="auto" w:fill="FFFFFF"/>
            <w:hideMark/>
          </w:tcPr>
          <w:p w14:paraId="546C7B3C" w14:textId="77777777" w:rsidR="00A431AF" w:rsidRPr="00A431AF" w:rsidRDefault="00A431AF" w:rsidP="00A431AF">
            <w:pPr>
              <w:pStyle w:val="TableContent"/>
              <w:rPr>
                <w:lang w:eastAsia="zh-CN"/>
              </w:rPr>
            </w:pPr>
            <w:proofErr w:type="spellStart"/>
            <w:r w:rsidRPr="00A431AF">
              <w:rPr>
                <w:lang w:eastAsia="zh-CN"/>
              </w:rPr>
              <w:t>F</w:t>
            </w:r>
            <w:r w:rsidRPr="00A431AF">
              <w:rPr>
                <w:vertAlign w:val="subscript"/>
                <w:lang w:eastAsia="zh-CN"/>
              </w:rPr>
              <w:t>x</w:t>
            </w:r>
            <w:proofErr w:type="spellEnd"/>
          </w:p>
        </w:tc>
        <w:tc>
          <w:tcPr>
            <w:tcW w:w="4600" w:type="pct"/>
            <w:shd w:val="clear" w:color="auto" w:fill="FFFFFF"/>
            <w:hideMark/>
          </w:tcPr>
          <w:p w14:paraId="60C098D7" w14:textId="77777777" w:rsidR="00A431AF" w:rsidRPr="00A431AF" w:rsidRDefault="00A431AF" w:rsidP="00A431AF">
            <w:pPr>
              <w:pStyle w:val="TableContent"/>
              <w:rPr>
                <w:lang w:eastAsia="zh-CN"/>
              </w:rPr>
            </w:pPr>
            <w:r w:rsidRPr="00A431AF">
              <w:rPr>
                <w:lang w:eastAsia="zh-CN"/>
              </w:rPr>
              <w:t>total fecundity, or reproductive output of entire population, for each stage or class</w:t>
            </w:r>
          </w:p>
        </w:tc>
      </w:tr>
      <w:tr w:rsidR="00A431AF" w:rsidRPr="00A431AF" w14:paraId="4C3A3D70" w14:textId="77777777" w:rsidTr="00A431AF">
        <w:trPr>
          <w:trHeight w:val="240"/>
          <w:tblCellSpacing w:w="15" w:type="dxa"/>
        </w:trPr>
        <w:tc>
          <w:tcPr>
            <w:tcW w:w="400" w:type="pct"/>
            <w:shd w:val="clear" w:color="auto" w:fill="FFFFFF"/>
            <w:hideMark/>
          </w:tcPr>
          <w:p w14:paraId="3FD81D49" w14:textId="77777777" w:rsidR="00A431AF" w:rsidRPr="00A431AF" w:rsidRDefault="00A431AF" w:rsidP="00A431AF">
            <w:pPr>
              <w:pStyle w:val="TableContent"/>
              <w:rPr>
                <w:lang w:eastAsia="zh-CN"/>
              </w:rPr>
            </w:pPr>
            <w:r w:rsidRPr="00A431AF">
              <w:rPr>
                <w:lang w:eastAsia="zh-CN"/>
              </w:rPr>
              <w:t>m</w:t>
            </w:r>
            <w:r w:rsidRPr="00A431AF">
              <w:rPr>
                <w:vertAlign w:val="subscript"/>
                <w:lang w:eastAsia="zh-CN"/>
              </w:rPr>
              <w:t>x</w:t>
            </w:r>
          </w:p>
        </w:tc>
        <w:tc>
          <w:tcPr>
            <w:tcW w:w="4600" w:type="pct"/>
            <w:shd w:val="clear" w:color="auto" w:fill="FFFFFF"/>
            <w:hideMark/>
          </w:tcPr>
          <w:p w14:paraId="60E8560E" w14:textId="77777777" w:rsidR="00A431AF" w:rsidRPr="00A431AF" w:rsidRDefault="00A431AF" w:rsidP="00A431AF">
            <w:pPr>
              <w:pStyle w:val="TableContent"/>
              <w:rPr>
                <w:lang w:eastAsia="zh-CN"/>
              </w:rPr>
            </w:pPr>
            <w:r w:rsidRPr="00A431AF">
              <w:rPr>
                <w:lang w:eastAsia="zh-CN"/>
              </w:rPr>
              <w:t>individual fecundity, or mean reproductive output, for each stage or class</w:t>
            </w:r>
          </w:p>
        </w:tc>
      </w:tr>
      <w:tr w:rsidR="00A431AF" w:rsidRPr="00A431AF" w14:paraId="5FA8AA17" w14:textId="77777777" w:rsidTr="00A431AF">
        <w:trPr>
          <w:trHeight w:val="240"/>
          <w:tblCellSpacing w:w="15" w:type="dxa"/>
        </w:trPr>
        <w:tc>
          <w:tcPr>
            <w:tcW w:w="400" w:type="pct"/>
            <w:shd w:val="clear" w:color="auto" w:fill="FFFFFF"/>
            <w:hideMark/>
          </w:tcPr>
          <w:p w14:paraId="7153D02B" w14:textId="77777777" w:rsidR="00A431AF" w:rsidRPr="00A431AF" w:rsidRDefault="00A431AF" w:rsidP="00A431AF">
            <w:pPr>
              <w:pStyle w:val="TableContent"/>
              <w:rPr>
                <w:lang w:eastAsia="zh-CN"/>
              </w:rPr>
            </w:pPr>
            <w:proofErr w:type="spellStart"/>
            <w:r w:rsidRPr="00A431AF">
              <w:rPr>
                <w:lang w:eastAsia="zh-CN"/>
              </w:rPr>
              <w:lastRenderedPageBreak/>
              <w:t>l</w:t>
            </w:r>
            <w:r w:rsidRPr="00A431AF">
              <w:rPr>
                <w:vertAlign w:val="subscript"/>
                <w:lang w:eastAsia="zh-CN"/>
              </w:rPr>
              <w:t>x</w:t>
            </w:r>
            <w:r w:rsidRPr="00A431AF">
              <w:rPr>
                <w:lang w:eastAsia="zh-CN"/>
              </w:rPr>
              <w:t>m</w:t>
            </w:r>
            <w:r w:rsidRPr="00A431AF">
              <w:rPr>
                <w:vertAlign w:val="subscript"/>
                <w:lang w:eastAsia="zh-CN"/>
              </w:rPr>
              <w:t>x</w:t>
            </w:r>
            <w:proofErr w:type="spellEnd"/>
          </w:p>
        </w:tc>
        <w:tc>
          <w:tcPr>
            <w:tcW w:w="4600" w:type="pct"/>
            <w:shd w:val="clear" w:color="auto" w:fill="FFFFFF"/>
            <w:hideMark/>
          </w:tcPr>
          <w:p w14:paraId="376603B3" w14:textId="77777777" w:rsidR="00A431AF" w:rsidRPr="00A431AF" w:rsidRDefault="00A431AF" w:rsidP="00A431AF">
            <w:pPr>
              <w:pStyle w:val="TableContent"/>
              <w:rPr>
                <w:lang w:eastAsia="zh-CN"/>
              </w:rPr>
            </w:pPr>
            <w:r w:rsidRPr="00A431AF">
              <w:rPr>
                <w:lang w:eastAsia="zh-CN"/>
              </w:rPr>
              <w:t xml:space="preserve">number of </w:t>
            </w:r>
            <w:proofErr w:type="gramStart"/>
            <w:r w:rsidRPr="00A431AF">
              <w:rPr>
                <w:lang w:eastAsia="zh-CN"/>
              </w:rPr>
              <w:t>offspring</w:t>
            </w:r>
            <w:proofErr w:type="gramEnd"/>
            <w:r w:rsidRPr="00A431AF">
              <w:rPr>
                <w:lang w:eastAsia="zh-CN"/>
              </w:rPr>
              <w:t xml:space="preserve"> produced per </w:t>
            </w:r>
            <w:r w:rsidRPr="00A431AF">
              <w:rPr>
                <w:i/>
                <w:iCs/>
                <w:lang w:eastAsia="zh-CN"/>
              </w:rPr>
              <w:t>original</w:t>
            </w:r>
            <w:r w:rsidRPr="00A431AF">
              <w:rPr>
                <w:lang w:eastAsia="zh-CN"/>
              </w:rPr>
              <w:t> individual during each stage or class; product of survival and reproduction</w:t>
            </w:r>
          </w:p>
        </w:tc>
      </w:tr>
      <w:tr w:rsidR="00A431AF" w:rsidRPr="00A431AF" w14:paraId="76ECB92E" w14:textId="77777777" w:rsidTr="00A431AF">
        <w:trPr>
          <w:trHeight w:val="240"/>
          <w:tblCellSpacing w:w="15" w:type="dxa"/>
        </w:trPr>
        <w:tc>
          <w:tcPr>
            <w:tcW w:w="400" w:type="pct"/>
            <w:shd w:val="clear" w:color="auto" w:fill="FFFFFF"/>
            <w:hideMark/>
          </w:tcPr>
          <w:p w14:paraId="649219CE" w14:textId="77777777" w:rsidR="00A431AF" w:rsidRPr="00A431AF" w:rsidRDefault="00A431AF" w:rsidP="00A431AF">
            <w:pPr>
              <w:pStyle w:val="TableContent"/>
              <w:rPr>
                <w:lang w:eastAsia="zh-CN"/>
              </w:rPr>
            </w:pPr>
            <w:r w:rsidRPr="00A431AF">
              <w:rPr>
                <w:lang w:eastAsia="zh-CN"/>
              </w:rPr>
              <w:t>R</w:t>
            </w:r>
            <w:r w:rsidRPr="00A431AF">
              <w:rPr>
                <w:vertAlign w:val="subscript"/>
                <w:lang w:eastAsia="zh-CN"/>
              </w:rPr>
              <w:t>0</w:t>
            </w:r>
          </w:p>
        </w:tc>
        <w:tc>
          <w:tcPr>
            <w:tcW w:w="4600" w:type="pct"/>
            <w:shd w:val="clear" w:color="auto" w:fill="FFFFFF"/>
            <w:hideMark/>
          </w:tcPr>
          <w:p w14:paraId="53F4F1CA" w14:textId="77777777" w:rsidR="00A431AF" w:rsidRPr="00A431AF" w:rsidRDefault="00A431AF" w:rsidP="00A431AF">
            <w:pPr>
              <w:pStyle w:val="TableContent"/>
              <w:rPr>
                <w:lang w:eastAsia="zh-CN"/>
              </w:rPr>
            </w:pPr>
            <w:r w:rsidRPr="00A431AF">
              <w:rPr>
                <w:lang w:eastAsia="zh-CN"/>
              </w:rPr>
              <w:t>basic reproductive rate</w:t>
            </w:r>
          </w:p>
        </w:tc>
      </w:tr>
    </w:tbl>
    <w:p w14:paraId="72892201" w14:textId="77777777" w:rsidR="008E6A8B" w:rsidRPr="008E6A8B" w:rsidRDefault="008E6A8B" w:rsidP="008E6A8B"/>
    <w:p w14:paraId="11EA69CA" w14:textId="77777777" w:rsidR="00283F45" w:rsidRDefault="00283F45" w:rsidP="00283F45">
      <w:pPr>
        <w:pStyle w:val="Heading1"/>
      </w:pPr>
      <w:r>
        <w:t>Methods</w:t>
      </w:r>
    </w:p>
    <w:p w14:paraId="68E933BC" w14:textId="77777777" w:rsidR="00AD7BA9" w:rsidRPr="00AD7BA9" w:rsidRDefault="00AD7BA9" w:rsidP="00AD7BA9">
      <w:pPr>
        <w:rPr>
          <w:lang w:eastAsia="zh-CN"/>
        </w:rPr>
      </w:pPr>
      <w:r w:rsidRPr="00AD7BA9">
        <w:rPr>
          <w:lang w:eastAsia="zh-CN"/>
        </w:rPr>
        <w:t>Once the life stages or age classes have been defined and the number of individuals in each have been counted, we can begin calculating values for the other variables of the life table. Survivorship (</w:t>
      </w:r>
      <w:r w:rsidRPr="00AD7BA9">
        <w:rPr>
          <w:i/>
          <w:iCs/>
          <w:lang w:eastAsia="zh-CN"/>
        </w:rPr>
        <w:t>l</w:t>
      </w:r>
      <w:r w:rsidRPr="00AD7BA9">
        <w:rPr>
          <w:i/>
          <w:iCs/>
          <w:vertAlign w:val="subscript"/>
          <w:lang w:eastAsia="zh-CN"/>
        </w:rPr>
        <w:t>x</w:t>
      </w:r>
      <w:r w:rsidRPr="00AD7BA9">
        <w:rPr>
          <w:lang w:eastAsia="zh-CN"/>
        </w:rPr>
        <w:t>) is a standardized value for the number of individuals at each stage. The first survivorship value entered in any life table (</w:t>
      </w:r>
      <w:r w:rsidRPr="00AD7BA9">
        <w:rPr>
          <w:i/>
          <w:iCs/>
          <w:lang w:eastAsia="zh-CN"/>
        </w:rPr>
        <w:t>l</w:t>
      </w:r>
      <w:r w:rsidRPr="00AD7BA9">
        <w:rPr>
          <w:i/>
          <w:iCs/>
          <w:vertAlign w:val="subscript"/>
          <w:lang w:eastAsia="zh-CN"/>
        </w:rPr>
        <w:t>0</w:t>
      </w:r>
      <w:r w:rsidRPr="00AD7BA9">
        <w:rPr>
          <w:lang w:eastAsia="zh-CN"/>
        </w:rPr>
        <w:t>) is always 1.0; one hundred percent of the individuals are observed at the first stage. Subsequent values for</w:t>
      </w:r>
      <w:r w:rsidR="00474CD9">
        <w:rPr>
          <w:lang w:eastAsia="zh-CN"/>
        </w:rPr>
        <w:t xml:space="preserve"> </w:t>
      </w:r>
      <w:r w:rsidRPr="00AD7BA9">
        <w:rPr>
          <w:i/>
          <w:iCs/>
          <w:lang w:eastAsia="zh-CN"/>
        </w:rPr>
        <w:t>l</w:t>
      </w:r>
      <w:r w:rsidRPr="00AD7BA9">
        <w:rPr>
          <w:i/>
          <w:iCs/>
          <w:vertAlign w:val="subscript"/>
          <w:lang w:eastAsia="zh-CN"/>
        </w:rPr>
        <w:t>x</w:t>
      </w:r>
      <w:r w:rsidR="00474CD9">
        <w:rPr>
          <w:lang w:eastAsia="zh-CN"/>
        </w:rPr>
        <w:t xml:space="preserve"> </w:t>
      </w:r>
      <w:r w:rsidRPr="00AD7BA9">
        <w:rPr>
          <w:lang w:eastAsia="zh-CN"/>
        </w:rPr>
        <w:t>are calculated by dividing the number of individuals observed at a given stage by the original number of individuals (</w:t>
      </w:r>
      <w:r w:rsidRPr="00AD7BA9">
        <w:rPr>
          <w:i/>
          <w:iCs/>
          <w:lang w:eastAsia="zh-CN"/>
        </w:rPr>
        <w:t>a</w:t>
      </w:r>
      <w:r w:rsidRPr="00AD7BA9">
        <w:rPr>
          <w:i/>
          <w:iCs/>
          <w:vertAlign w:val="subscript"/>
          <w:lang w:eastAsia="zh-CN"/>
        </w:rPr>
        <w:t>x</w:t>
      </w:r>
      <w:r>
        <w:rPr>
          <w:i/>
          <w:iCs/>
          <w:lang w:eastAsia="zh-CN"/>
        </w:rPr>
        <w:t xml:space="preserve"> / </w:t>
      </w:r>
      <w:r w:rsidRPr="00AD7BA9">
        <w:rPr>
          <w:i/>
          <w:iCs/>
          <w:lang w:eastAsia="zh-CN"/>
        </w:rPr>
        <w:t>a</w:t>
      </w:r>
      <w:r w:rsidRPr="00AD7BA9">
        <w:rPr>
          <w:i/>
          <w:iCs/>
          <w:vertAlign w:val="subscript"/>
          <w:lang w:eastAsia="zh-CN"/>
        </w:rPr>
        <w:t>0</w:t>
      </w:r>
      <w:r w:rsidRPr="00AD7BA9">
        <w:rPr>
          <w:lang w:eastAsia="zh-CN"/>
        </w:rPr>
        <w:t>). The mortality (</w:t>
      </w:r>
      <w:r w:rsidRPr="00AD7BA9">
        <w:rPr>
          <w:i/>
          <w:iCs/>
          <w:lang w:eastAsia="zh-CN"/>
        </w:rPr>
        <w:t>d</w:t>
      </w:r>
      <w:r w:rsidRPr="00AD7BA9">
        <w:rPr>
          <w:i/>
          <w:iCs/>
          <w:vertAlign w:val="subscript"/>
          <w:lang w:eastAsia="zh-CN"/>
        </w:rPr>
        <w:t>x</w:t>
      </w:r>
      <w:r w:rsidRPr="00AD7BA9">
        <w:rPr>
          <w:lang w:eastAsia="zh-CN"/>
        </w:rPr>
        <w:t>) at each stage can then be calculated by subtracting survivorship values (</w:t>
      </w:r>
      <w:r w:rsidRPr="00AD7BA9">
        <w:rPr>
          <w:i/>
          <w:iCs/>
          <w:lang w:eastAsia="zh-CN"/>
        </w:rPr>
        <w:t>l</w:t>
      </w:r>
      <w:r w:rsidRPr="00AD7BA9">
        <w:rPr>
          <w:i/>
          <w:iCs/>
          <w:vertAlign w:val="subscript"/>
          <w:lang w:eastAsia="zh-CN"/>
        </w:rPr>
        <w:t>x</w:t>
      </w:r>
      <w:r w:rsidR="00E76A13">
        <w:rPr>
          <w:i/>
          <w:iCs/>
          <w:lang w:eastAsia="zh-CN"/>
        </w:rPr>
        <w:t xml:space="preserve"> -</w:t>
      </w:r>
      <w:r w:rsidRPr="00AD7BA9">
        <w:rPr>
          <w:i/>
          <w:iCs/>
          <w:lang w:eastAsia="zh-CN"/>
        </w:rPr>
        <w:t xml:space="preserve"> l</w:t>
      </w:r>
      <w:r w:rsidRPr="00AD7BA9">
        <w:rPr>
          <w:i/>
          <w:iCs/>
          <w:vertAlign w:val="subscript"/>
          <w:lang w:eastAsia="zh-CN"/>
        </w:rPr>
        <w:t>x+1</w:t>
      </w:r>
      <w:r w:rsidRPr="00AD7BA9">
        <w:rPr>
          <w:lang w:eastAsia="zh-CN"/>
        </w:rPr>
        <w:t>). The mortality rate (</w:t>
      </w:r>
      <w:proofErr w:type="spellStart"/>
      <w:r w:rsidRPr="00AD7BA9">
        <w:rPr>
          <w:i/>
          <w:iCs/>
          <w:lang w:eastAsia="zh-CN"/>
        </w:rPr>
        <w:t>q</w:t>
      </w:r>
      <w:r w:rsidRPr="00AD7BA9">
        <w:rPr>
          <w:i/>
          <w:iCs/>
          <w:vertAlign w:val="subscript"/>
          <w:lang w:eastAsia="zh-CN"/>
        </w:rPr>
        <w:t>x</w:t>
      </w:r>
      <w:proofErr w:type="spellEnd"/>
      <w:r w:rsidRPr="00AD7BA9">
        <w:rPr>
          <w:lang w:eastAsia="zh-CN"/>
        </w:rPr>
        <w:t>) for each stage gives an idea of the intensity of mortality at that stage;</w:t>
      </w:r>
      <w:r w:rsidR="000A2234">
        <w:rPr>
          <w:lang w:eastAsia="zh-CN"/>
        </w:rPr>
        <w:t xml:space="preserve"> </w:t>
      </w:r>
      <w:proofErr w:type="spellStart"/>
      <w:r w:rsidRPr="00AD7BA9">
        <w:rPr>
          <w:i/>
          <w:iCs/>
          <w:lang w:eastAsia="zh-CN"/>
        </w:rPr>
        <w:t>q</w:t>
      </w:r>
      <w:r w:rsidRPr="00AD7BA9">
        <w:rPr>
          <w:i/>
          <w:iCs/>
          <w:vertAlign w:val="subscript"/>
          <w:lang w:eastAsia="zh-CN"/>
        </w:rPr>
        <w:t>x</w:t>
      </w:r>
      <w:proofErr w:type="spellEnd"/>
      <w:r w:rsidR="000A2234">
        <w:rPr>
          <w:lang w:eastAsia="zh-CN"/>
        </w:rPr>
        <w:t xml:space="preserve"> </w:t>
      </w:r>
      <w:r w:rsidRPr="00AD7BA9">
        <w:rPr>
          <w:lang w:eastAsia="zh-CN"/>
        </w:rPr>
        <w:t>is calculated by dividing mortality by survivorship (</w:t>
      </w:r>
      <w:r w:rsidRPr="00AD7BA9">
        <w:rPr>
          <w:i/>
          <w:iCs/>
          <w:lang w:eastAsia="zh-CN"/>
        </w:rPr>
        <w:t>d</w:t>
      </w:r>
      <w:r w:rsidRPr="00AD7BA9">
        <w:rPr>
          <w:i/>
          <w:iCs/>
          <w:vertAlign w:val="subscript"/>
          <w:lang w:eastAsia="zh-CN"/>
        </w:rPr>
        <w:t>x</w:t>
      </w:r>
      <w:r w:rsidRPr="00AD7BA9">
        <w:rPr>
          <w:i/>
          <w:iCs/>
          <w:lang w:eastAsia="zh-CN"/>
        </w:rPr>
        <w:t>/l</w:t>
      </w:r>
      <w:r w:rsidRPr="00AD7BA9">
        <w:rPr>
          <w:i/>
          <w:iCs/>
          <w:vertAlign w:val="subscript"/>
          <w:lang w:eastAsia="zh-CN"/>
        </w:rPr>
        <w:t>x</w:t>
      </w:r>
      <w:r w:rsidRPr="00AD7BA9">
        <w:rPr>
          <w:lang w:eastAsia="zh-CN"/>
        </w:rPr>
        <w:t>). The "killing power"</w:t>
      </w:r>
      <w:r w:rsidR="004B7CEA">
        <w:rPr>
          <w:lang w:eastAsia="zh-CN"/>
        </w:rPr>
        <w:t xml:space="preserve"> </w:t>
      </w:r>
      <w:r w:rsidRPr="00AD7BA9">
        <w:rPr>
          <w:i/>
          <w:iCs/>
          <w:lang w:eastAsia="zh-CN"/>
        </w:rPr>
        <w:t>(</w:t>
      </w:r>
      <w:proofErr w:type="spellStart"/>
      <w:r w:rsidRPr="00AD7BA9">
        <w:rPr>
          <w:i/>
          <w:iCs/>
          <w:lang w:eastAsia="zh-CN"/>
        </w:rPr>
        <w:t>k</w:t>
      </w:r>
      <w:r w:rsidRPr="00AD7BA9">
        <w:rPr>
          <w:i/>
          <w:iCs/>
          <w:vertAlign w:val="subscript"/>
          <w:lang w:eastAsia="zh-CN"/>
        </w:rPr>
        <w:t>x</w:t>
      </w:r>
      <w:proofErr w:type="spellEnd"/>
      <w:r w:rsidRPr="00AD7BA9">
        <w:rPr>
          <w:lang w:eastAsia="zh-CN"/>
        </w:rPr>
        <w:t>) also reflects the intensity of mortality, but</w:t>
      </w:r>
      <w:r w:rsidR="004B7CEA">
        <w:rPr>
          <w:lang w:eastAsia="zh-CN"/>
        </w:rPr>
        <w:t xml:space="preserve"> </w:t>
      </w:r>
      <w:proofErr w:type="spellStart"/>
      <w:r w:rsidRPr="00AD7BA9">
        <w:rPr>
          <w:i/>
          <w:iCs/>
          <w:lang w:eastAsia="zh-CN"/>
        </w:rPr>
        <w:t>k</w:t>
      </w:r>
      <w:r w:rsidRPr="00AD7BA9">
        <w:rPr>
          <w:i/>
          <w:iCs/>
          <w:vertAlign w:val="subscript"/>
          <w:lang w:eastAsia="zh-CN"/>
        </w:rPr>
        <w:t>x</w:t>
      </w:r>
      <w:proofErr w:type="spellEnd"/>
      <w:r w:rsidR="004B7CEA">
        <w:rPr>
          <w:lang w:eastAsia="zh-CN"/>
        </w:rPr>
        <w:t xml:space="preserve"> </w:t>
      </w:r>
      <w:r w:rsidRPr="00AD7BA9">
        <w:rPr>
          <w:lang w:eastAsia="zh-CN"/>
        </w:rPr>
        <w:t>values can be summed across stages. Killing power is defined as log</w:t>
      </w:r>
      <w:r w:rsidRPr="00AD7BA9">
        <w:rPr>
          <w:vertAlign w:val="subscript"/>
          <w:lang w:eastAsia="zh-CN"/>
        </w:rPr>
        <w:t>10</w:t>
      </w:r>
      <w:r w:rsidRPr="00AD7BA9">
        <w:rPr>
          <w:lang w:eastAsia="zh-CN"/>
        </w:rPr>
        <w:t>(a</w:t>
      </w:r>
      <w:r w:rsidRPr="00AD7BA9">
        <w:rPr>
          <w:vertAlign w:val="subscript"/>
          <w:lang w:eastAsia="zh-CN"/>
        </w:rPr>
        <w:t>x</w:t>
      </w:r>
      <w:r w:rsidRPr="00AD7BA9">
        <w:rPr>
          <w:lang w:eastAsia="zh-CN"/>
        </w:rPr>
        <w:t>/a</w:t>
      </w:r>
      <w:r w:rsidRPr="00AD7BA9">
        <w:rPr>
          <w:vertAlign w:val="subscript"/>
          <w:lang w:eastAsia="zh-CN"/>
        </w:rPr>
        <w:t>x</w:t>
      </w:r>
      <w:r w:rsidRPr="00AD7BA9">
        <w:rPr>
          <w:lang w:eastAsia="zh-CN"/>
        </w:rPr>
        <w:t>+1) (which = log</w:t>
      </w:r>
      <w:r w:rsidRPr="00AD7BA9">
        <w:rPr>
          <w:vertAlign w:val="subscript"/>
          <w:lang w:eastAsia="zh-CN"/>
        </w:rPr>
        <w:t>10</w:t>
      </w:r>
      <w:r w:rsidRPr="00AD7BA9">
        <w:rPr>
          <w:lang w:eastAsia="zh-CN"/>
        </w:rPr>
        <w:t>a</w:t>
      </w:r>
      <w:r w:rsidRPr="00AD7BA9">
        <w:rPr>
          <w:vertAlign w:val="subscript"/>
          <w:lang w:eastAsia="zh-CN"/>
        </w:rPr>
        <w:t>x</w:t>
      </w:r>
      <w:r w:rsidR="004B7CEA">
        <w:rPr>
          <w:lang w:eastAsia="zh-CN"/>
        </w:rPr>
        <w:t xml:space="preserve"> -</w:t>
      </w:r>
      <w:r w:rsidRPr="00AD7BA9">
        <w:rPr>
          <w:lang w:eastAsia="zh-CN"/>
        </w:rPr>
        <w:t xml:space="preserve"> log</w:t>
      </w:r>
      <w:r w:rsidRPr="00AD7BA9">
        <w:rPr>
          <w:vertAlign w:val="subscript"/>
          <w:lang w:eastAsia="zh-CN"/>
        </w:rPr>
        <w:t>10</w:t>
      </w:r>
      <w:r w:rsidRPr="00AD7BA9">
        <w:rPr>
          <w:lang w:eastAsia="zh-CN"/>
        </w:rPr>
        <w:t>a</w:t>
      </w:r>
      <w:r w:rsidRPr="00AD7BA9">
        <w:rPr>
          <w:vertAlign w:val="subscript"/>
          <w:lang w:eastAsia="zh-CN"/>
        </w:rPr>
        <w:t>x+1</w:t>
      </w:r>
      <w:r w:rsidR="00280311" w:rsidRPr="00AD7BA9">
        <w:rPr>
          <w:lang w:eastAsia="zh-CN"/>
        </w:rPr>
        <w:t>) and</w:t>
      </w:r>
      <w:r w:rsidRPr="00AD7BA9">
        <w:rPr>
          <w:lang w:eastAsia="zh-CN"/>
        </w:rPr>
        <w:t xml:space="preserve"> can also be calculated with</w:t>
      </w:r>
      <w:r w:rsidR="00E645F7">
        <w:rPr>
          <w:lang w:eastAsia="zh-CN"/>
        </w:rPr>
        <w:t xml:space="preserve"> </w:t>
      </w:r>
      <w:r w:rsidRPr="00AD7BA9">
        <w:rPr>
          <w:i/>
          <w:iCs/>
          <w:lang w:eastAsia="zh-CN"/>
        </w:rPr>
        <w:t>l</w:t>
      </w:r>
      <w:r w:rsidRPr="00AD7BA9">
        <w:rPr>
          <w:i/>
          <w:iCs/>
          <w:vertAlign w:val="subscript"/>
          <w:lang w:eastAsia="zh-CN"/>
        </w:rPr>
        <w:t>x</w:t>
      </w:r>
      <w:r w:rsidR="007C6C9D">
        <w:rPr>
          <w:lang w:eastAsia="zh-CN"/>
        </w:rPr>
        <w:t xml:space="preserve"> </w:t>
      </w:r>
      <w:r w:rsidRPr="00AD7BA9">
        <w:rPr>
          <w:lang w:eastAsia="zh-CN"/>
        </w:rPr>
        <w:t>values in place of</w:t>
      </w:r>
      <w:r w:rsidR="006064B1">
        <w:rPr>
          <w:lang w:eastAsia="zh-CN"/>
        </w:rPr>
        <w:t xml:space="preserve"> </w:t>
      </w:r>
      <w:r w:rsidRPr="00AD7BA9">
        <w:rPr>
          <w:i/>
          <w:iCs/>
          <w:lang w:eastAsia="zh-CN"/>
        </w:rPr>
        <w:t>a</w:t>
      </w:r>
      <w:r w:rsidRPr="00AD7BA9">
        <w:rPr>
          <w:i/>
          <w:iCs/>
          <w:vertAlign w:val="subscript"/>
          <w:lang w:eastAsia="zh-CN"/>
        </w:rPr>
        <w:t>x</w:t>
      </w:r>
      <w:r w:rsidR="006064B1">
        <w:rPr>
          <w:lang w:eastAsia="zh-CN"/>
        </w:rPr>
        <w:t xml:space="preserve"> </w:t>
      </w:r>
      <w:r w:rsidRPr="00AD7BA9">
        <w:rPr>
          <w:lang w:eastAsia="zh-CN"/>
        </w:rPr>
        <w:t>values.</w:t>
      </w:r>
    </w:p>
    <w:p w14:paraId="5572ACD4" w14:textId="77777777" w:rsidR="00AD7BA9" w:rsidRDefault="00AD7BA9" w:rsidP="00AD7BA9">
      <w:pPr>
        <w:rPr>
          <w:lang w:eastAsia="zh-CN"/>
        </w:rPr>
      </w:pPr>
      <w:r w:rsidRPr="00AD7BA9">
        <w:rPr>
          <w:lang w:eastAsia="zh-CN"/>
        </w:rPr>
        <w:t>The next three variables (</w:t>
      </w:r>
      <w:proofErr w:type="spellStart"/>
      <w:r w:rsidRPr="00AD7BA9">
        <w:rPr>
          <w:i/>
          <w:iCs/>
          <w:lang w:eastAsia="zh-CN"/>
        </w:rPr>
        <w:t>F</w:t>
      </w:r>
      <w:r w:rsidRPr="00AD7BA9">
        <w:rPr>
          <w:i/>
          <w:iCs/>
          <w:vertAlign w:val="subscript"/>
          <w:lang w:eastAsia="zh-CN"/>
        </w:rPr>
        <w:t>x</w:t>
      </w:r>
      <w:proofErr w:type="spellEnd"/>
      <w:r w:rsidRPr="00AD7BA9">
        <w:rPr>
          <w:lang w:eastAsia="zh-CN"/>
        </w:rPr>
        <w:t>,</w:t>
      </w:r>
      <w:r w:rsidR="00CE038D">
        <w:rPr>
          <w:lang w:eastAsia="zh-CN"/>
        </w:rPr>
        <w:t xml:space="preserve"> </w:t>
      </w:r>
      <w:r w:rsidRPr="00AD7BA9">
        <w:rPr>
          <w:i/>
          <w:iCs/>
          <w:lang w:eastAsia="zh-CN"/>
        </w:rPr>
        <w:t>m</w:t>
      </w:r>
      <w:r w:rsidRPr="00AD7BA9">
        <w:rPr>
          <w:i/>
          <w:iCs/>
          <w:vertAlign w:val="subscript"/>
          <w:lang w:eastAsia="zh-CN"/>
        </w:rPr>
        <w:t>x</w:t>
      </w:r>
      <w:r w:rsidRPr="00AD7BA9">
        <w:rPr>
          <w:lang w:eastAsia="zh-CN"/>
        </w:rPr>
        <w:t>, and</w:t>
      </w:r>
      <w:r w:rsidR="00CE038D">
        <w:rPr>
          <w:lang w:eastAsia="zh-CN"/>
        </w:rPr>
        <w:t xml:space="preserve"> </w:t>
      </w:r>
      <w:proofErr w:type="spellStart"/>
      <w:r w:rsidRPr="00AD7BA9">
        <w:rPr>
          <w:i/>
          <w:iCs/>
          <w:lang w:eastAsia="zh-CN"/>
        </w:rPr>
        <w:t>l</w:t>
      </w:r>
      <w:r w:rsidRPr="00AD7BA9">
        <w:rPr>
          <w:i/>
          <w:iCs/>
          <w:vertAlign w:val="subscript"/>
          <w:lang w:eastAsia="zh-CN"/>
        </w:rPr>
        <w:t>x</w:t>
      </w:r>
      <w:r w:rsidRPr="00AD7BA9">
        <w:rPr>
          <w:i/>
          <w:iCs/>
          <w:lang w:eastAsia="zh-CN"/>
        </w:rPr>
        <w:t>m</w:t>
      </w:r>
      <w:r w:rsidRPr="00AD7BA9">
        <w:rPr>
          <w:i/>
          <w:iCs/>
          <w:vertAlign w:val="subscript"/>
          <w:lang w:eastAsia="zh-CN"/>
        </w:rPr>
        <w:t>x</w:t>
      </w:r>
      <w:proofErr w:type="spellEnd"/>
      <w:r w:rsidRPr="00AD7BA9">
        <w:rPr>
          <w:lang w:eastAsia="zh-CN"/>
        </w:rPr>
        <w:t>) are part of the life table</w:t>
      </w:r>
      <w:r w:rsidR="00103845">
        <w:rPr>
          <w:lang w:eastAsia="zh-CN"/>
        </w:rPr>
        <w:t>’</w:t>
      </w:r>
      <w:r w:rsidRPr="00AD7BA9">
        <w:rPr>
          <w:lang w:eastAsia="zh-CN"/>
        </w:rPr>
        <w:t>s fecundity schedule.</w:t>
      </w:r>
      <w:r w:rsidR="009E0BC1">
        <w:rPr>
          <w:lang w:eastAsia="zh-CN"/>
        </w:rPr>
        <w:t xml:space="preserve"> </w:t>
      </w:r>
      <w:proofErr w:type="spellStart"/>
      <w:r w:rsidRPr="00AD7BA9">
        <w:rPr>
          <w:i/>
          <w:iCs/>
          <w:lang w:eastAsia="zh-CN"/>
        </w:rPr>
        <w:t>F</w:t>
      </w:r>
      <w:r w:rsidRPr="00AD7BA9">
        <w:rPr>
          <w:i/>
          <w:iCs/>
          <w:vertAlign w:val="subscript"/>
          <w:lang w:eastAsia="zh-CN"/>
        </w:rPr>
        <w:t>x</w:t>
      </w:r>
      <w:proofErr w:type="spellEnd"/>
      <w:r w:rsidR="009E0BC1">
        <w:rPr>
          <w:lang w:eastAsia="zh-CN"/>
        </w:rPr>
        <w:t xml:space="preserve"> </w:t>
      </w:r>
      <w:r w:rsidRPr="00AD7BA9">
        <w:rPr>
          <w:lang w:eastAsia="zh-CN"/>
        </w:rPr>
        <w:t>and</w:t>
      </w:r>
      <w:r w:rsidR="009E0BC1">
        <w:rPr>
          <w:lang w:eastAsia="zh-CN"/>
        </w:rPr>
        <w:t xml:space="preserve"> </w:t>
      </w:r>
      <w:r w:rsidRPr="00AD7BA9">
        <w:rPr>
          <w:i/>
          <w:iCs/>
          <w:lang w:eastAsia="zh-CN"/>
        </w:rPr>
        <w:t>m</w:t>
      </w:r>
      <w:r w:rsidRPr="00AD7BA9">
        <w:rPr>
          <w:i/>
          <w:iCs/>
          <w:vertAlign w:val="subscript"/>
          <w:lang w:eastAsia="zh-CN"/>
        </w:rPr>
        <w:t>x</w:t>
      </w:r>
      <w:r w:rsidR="009E0BC1">
        <w:rPr>
          <w:lang w:eastAsia="zh-CN"/>
        </w:rPr>
        <w:t xml:space="preserve"> </w:t>
      </w:r>
      <w:r w:rsidRPr="00AD7BA9">
        <w:rPr>
          <w:lang w:eastAsia="zh-CN"/>
        </w:rPr>
        <w:t>are simply counts of the total number of offspring produced and the mean number of offspring produced per individual at each stage, respectively.</w:t>
      </w:r>
      <w:r w:rsidR="00B50DC7">
        <w:rPr>
          <w:lang w:eastAsia="zh-CN"/>
        </w:rPr>
        <w:t xml:space="preserve"> </w:t>
      </w:r>
      <w:proofErr w:type="spellStart"/>
      <w:r w:rsidRPr="00AD7BA9">
        <w:rPr>
          <w:i/>
          <w:iCs/>
          <w:lang w:eastAsia="zh-CN"/>
        </w:rPr>
        <w:t>F</w:t>
      </w:r>
      <w:r w:rsidRPr="00AD7BA9">
        <w:rPr>
          <w:i/>
          <w:iCs/>
          <w:vertAlign w:val="subscript"/>
          <w:lang w:eastAsia="zh-CN"/>
        </w:rPr>
        <w:t>x</w:t>
      </w:r>
      <w:proofErr w:type="spellEnd"/>
      <w:r w:rsidR="00B50DC7">
        <w:rPr>
          <w:lang w:eastAsia="zh-CN"/>
        </w:rPr>
        <w:t xml:space="preserve"> </w:t>
      </w:r>
      <w:r w:rsidRPr="00AD7BA9">
        <w:rPr>
          <w:lang w:eastAsia="zh-CN"/>
        </w:rPr>
        <w:t>can be used to calculate the basic reproductive rate,</w:t>
      </w:r>
      <w:r w:rsidR="007F17D7">
        <w:rPr>
          <w:lang w:eastAsia="zh-CN"/>
        </w:rPr>
        <w:t xml:space="preserve"> </w:t>
      </w:r>
      <w:r w:rsidRPr="00AD7BA9">
        <w:rPr>
          <w:i/>
          <w:iCs/>
          <w:lang w:eastAsia="zh-CN"/>
        </w:rPr>
        <w:t>R</w:t>
      </w:r>
      <w:r w:rsidRPr="00AD7BA9">
        <w:rPr>
          <w:i/>
          <w:iCs/>
          <w:vertAlign w:val="subscript"/>
          <w:lang w:eastAsia="zh-CN"/>
        </w:rPr>
        <w:t>0</w:t>
      </w:r>
      <w:r w:rsidRPr="00AD7BA9">
        <w:rPr>
          <w:lang w:eastAsia="zh-CN"/>
        </w:rPr>
        <w:t>, but the more common calculation uses the formula</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5E0F80" w14:paraId="6A9EDB0D" w14:textId="77777777" w:rsidTr="00B737B3">
        <w:trPr>
          <w:jc w:val="center"/>
        </w:trPr>
        <w:tc>
          <w:tcPr>
            <w:tcW w:w="4675" w:type="dxa"/>
            <w:vAlign w:val="center"/>
          </w:tcPr>
          <w:p w14:paraId="2B5D32AF" w14:textId="77777777" w:rsidR="005E0F80" w:rsidRDefault="000368FE" w:rsidP="00B737B3">
            <w:pPr>
              <w:rPr>
                <w:lang w:eastAsia="zh-CN"/>
              </w:rPr>
            </w:pPr>
            <m:oMathPara>
              <m:oMath>
                <m:sSub>
                  <m:sSubPr>
                    <m:ctrlPr>
                      <w:rPr>
                        <w:rFonts w:ascii="Cambria Math" w:hAnsi="Cambria Math"/>
                        <w:i/>
                        <w:lang w:eastAsia="zh-CN"/>
                      </w:rPr>
                    </m:ctrlPr>
                  </m:sSubPr>
                  <m:e>
                    <m:r>
                      <w:rPr>
                        <w:rFonts w:ascii="Cambria Math" w:hAnsi="Cambria Math"/>
                        <w:lang w:eastAsia="zh-CN"/>
                      </w:rPr>
                      <m:t>R</m:t>
                    </m:r>
                  </m:e>
                  <m:sub>
                    <m:r>
                      <w:rPr>
                        <w:rFonts w:ascii="Cambria Math" w:hAnsi="Cambria Math"/>
                        <w:lang w:eastAsia="zh-CN"/>
                      </w:rPr>
                      <m:t>0</m:t>
                    </m:r>
                  </m:sub>
                </m:sSub>
                <m:r>
                  <w:rPr>
                    <w:rFonts w:ascii="Cambria Math" w:hAnsi="Cambria Math"/>
                    <w:lang w:eastAsia="zh-CN"/>
                  </w:rPr>
                  <m:t>=</m:t>
                </m:r>
                <m:nary>
                  <m:naryPr>
                    <m:chr m:val="∑"/>
                    <m:limLoc m:val="undOvr"/>
                    <m:subHide m:val="1"/>
                    <m:supHide m:val="1"/>
                    <m:ctrlPr>
                      <w:rPr>
                        <w:rFonts w:ascii="Cambria Math" w:hAnsi="Cambria Math"/>
                        <w:i/>
                        <w:lang w:eastAsia="zh-CN"/>
                      </w:rPr>
                    </m:ctrlPr>
                  </m:naryPr>
                  <m:sub/>
                  <m:sup/>
                  <m:e>
                    <m:sSub>
                      <m:sSubPr>
                        <m:ctrlPr>
                          <w:rPr>
                            <w:rFonts w:ascii="Cambria Math" w:hAnsi="Cambria Math"/>
                            <w:i/>
                            <w:lang w:eastAsia="zh-CN"/>
                          </w:rPr>
                        </m:ctrlPr>
                      </m:sSubPr>
                      <m:e>
                        <m:r>
                          <w:rPr>
                            <w:rFonts w:ascii="Cambria Math" w:hAnsi="Cambria Math"/>
                            <w:lang w:eastAsia="zh-CN"/>
                          </w:rPr>
                          <m:t>l</m:t>
                        </m:r>
                      </m:e>
                      <m:sub>
                        <m:r>
                          <w:rPr>
                            <w:rFonts w:ascii="Cambria Math" w:hAnsi="Cambria Math"/>
                            <w:lang w:eastAsia="zh-CN"/>
                          </w:rPr>
                          <m:t>x</m:t>
                        </m:r>
                      </m:sub>
                    </m:sSub>
                    <m:sSub>
                      <m:sSubPr>
                        <m:ctrlPr>
                          <w:rPr>
                            <w:rFonts w:ascii="Cambria Math" w:hAnsi="Cambria Math"/>
                            <w:i/>
                            <w:lang w:eastAsia="zh-CN"/>
                          </w:rPr>
                        </m:ctrlPr>
                      </m:sSubPr>
                      <m:e>
                        <m:r>
                          <w:rPr>
                            <w:rFonts w:ascii="Cambria Math" w:hAnsi="Cambria Math"/>
                            <w:lang w:eastAsia="zh-CN"/>
                          </w:rPr>
                          <m:t>m</m:t>
                        </m:r>
                      </m:e>
                      <m:sub>
                        <m:r>
                          <w:rPr>
                            <w:rFonts w:ascii="Cambria Math" w:hAnsi="Cambria Math"/>
                            <w:lang w:eastAsia="zh-CN"/>
                          </w:rPr>
                          <m:t>x</m:t>
                        </m:r>
                      </m:sub>
                    </m:sSub>
                  </m:e>
                </m:nary>
              </m:oMath>
            </m:oMathPara>
          </w:p>
        </w:tc>
        <w:tc>
          <w:tcPr>
            <w:tcW w:w="4675" w:type="dxa"/>
            <w:vAlign w:val="center"/>
          </w:tcPr>
          <w:p w14:paraId="316E2C1B" w14:textId="77777777" w:rsidR="005E0F80" w:rsidRDefault="005B38DA" w:rsidP="00B737B3">
            <w:pPr>
              <w:rPr>
                <w:lang w:eastAsia="zh-CN"/>
              </w:rPr>
            </w:pPr>
            <w:r>
              <w:rPr>
                <w:lang w:eastAsia="zh-CN"/>
              </w:rPr>
              <w:t xml:space="preserve">LaTeX Code: </w:t>
            </w:r>
            <w:proofErr w:type="gramStart"/>
            <w:r>
              <w:rPr>
                <w:lang w:eastAsia="zh-CN"/>
              </w:rPr>
              <w:t>\[</w:t>
            </w:r>
            <w:proofErr w:type="gramEnd"/>
            <w:r>
              <w:rPr>
                <w:lang w:eastAsia="zh-CN"/>
              </w:rPr>
              <w:t xml:space="preserve"> R_0 = </w:t>
            </w:r>
            <w:r w:rsidR="00852FF3">
              <w:rPr>
                <w:lang w:eastAsia="zh-CN"/>
              </w:rPr>
              <w:t>\sum</w:t>
            </w:r>
            <w:r w:rsidR="00B737B3">
              <w:rPr>
                <w:lang w:eastAsia="zh-CN"/>
              </w:rPr>
              <w:t xml:space="preserve"> </w:t>
            </w:r>
            <w:proofErr w:type="spellStart"/>
            <w:r w:rsidR="00B737B3">
              <w:rPr>
                <w:lang w:eastAsia="zh-CN"/>
              </w:rPr>
              <w:t>l_x</w:t>
            </w:r>
            <w:proofErr w:type="spellEnd"/>
            <w:r w:rsidR="00B737B3">
              <w:rPr>
                <w:lang w:eastAsia="zh-CN"/>
              </w:rPr>
              <w:t xml:space="preserve"> </w:t>
            </w:r>
            <w:proofErr w:type="spellStart"/>
            <w:r w:rsidR="00B737B3">
              <w:rPr>
                <w:lang w:eastAsia="zh-CN"/>
              </w:rPr>
              <w:t>m_x</w:t>
            </w:r>
            <w:proofErr w:type="spellEnd"/>
            <w:r>
              <w:rPr>
                <w:lang w:eastAsia="zh-CN"/>
              </w:rPr>
              <w:t xml:space="preserve"> \]</w:t>
            </w:r>
          </w:p>
        </w:tc>
      </w:tr>
    </w:tbl>
    <w:p w14:paraId="6B467A5B" w14:textId="77777777" w:rsidR="00AD7BA9" w:rsidRPr="00AD7BA9" w:rsidRDefault="00AD7BA9" w:rsidP="00AD7BA9">
      <w:pPr>
        <w:rPr>
          <w:lang w:eastAsia="zh-CN"/>
        </w:rPr>
      </w:pPr>
      <w:r w:rsidRPr="00AD7BA9">
        <w:rPr>
          <w:lang w:eastAsia="zh-CN"/>
        </w:rPr>
        <w:t xml:space="preserve">which is the sum of the number of </w:t>
      </w:r>
      <w:proofErr w:type="gramStart"/>
      <w:r w:rsidRPr="00AD7BA9">
        <w:rPr>
          <w:lang w:eastAsia="zh-CN"/>
        </w:rPr>
        <w:t>offspring</w:t>
      </w:r>
      <w:proofErr w:type="gramEnd"/>
      <w:r w:rsidRPr="00AD7BA9">
        <w:rPr>
          <w:lang w:eastAsia="zh-CN"/>
        </w:rPr>
        <w:t xml:space="preserve"> produced per original individual during each stage.</w:t>
      </w:r>
    </w:p>
    <w:p w14:paraId="09D0DFD6" w14:textId="77777777" w:rsidR="00AD7BA9" w:rsidRPr="00AD7BA9" w:rsidRDefault="00AD7BA9" w:rsidP="00AD7BA9">
      <w:pPr>
        <w:rPr>
          <w:lang w:eastAsia="zh-CN"/>
        </w:rPr>
      </w:pPr>
      <w:r w:rsidRPr="00AD7BA9">
        <w:rPr>
          <w:lang w:eastAsia="zh-CN"/>
        </w:rPr>
        <w:t>The following data were collected for an annual plant,</w:t>
      </w:r>
      <w:r w:rsidR="000966D0">
        <w:rPr>
          <w:lang w:eastAsia="zh-CN"/>
        </w:rPr>
        <w:t xml:space="preserve"> </w:t>
      </w:r>
      <w:r w:rsidRPr="00AD7BA9">
        <w:rPr>
          <w:i/>
          <w:iCs/>
          <w:lang w:eastAsia="zh-CN"/>
        </w:rPr>
        <w:t xml:space="preserve">Phlox </w:t>
      </w:r>
      <w:proofErr w:type="spellStart"/>
      <w:r w:rsidRPr="00AD7BA9">
        <w:rPr>
          <w:i/>
          <w:iCs/>
          <w:lang w:eastAsia="zh-CN"/>
        </w:rPr>
        <w:t>drummondii</w:t>
      </w:r>
      <w:proofErr w:type="spellEnd"/>
      <w:r w:rsidRPr="00AD7BA9">
        <w:rPr>
          <w:lang w:eastAsia="zh-CN"/>
        </w:rPr>
        <w:t xml:space="preserve"> (after </w:t>
      </w:r>
      <w:proofErr w:type="spellStart"/>
      <w:r w:rsidRPr="00AD7BA9">
        <w:rPr>
          <w:lang w:eastAsia="zh-CN"/>
        </w:rPr>
        <w:t>Leverich</w:t>
      </w:r>
      <w:proofErr w:type="spellEnd"/>
      <w:r w:rsidRPr="00AD7BA9">
        <w:rPr>
          <w:lang w:eastAsia="zh-CN"/>
        </w:rPr>
        <w:t xml:space="preserve"> &amp; Levin 1979, in </w:t>
      </w:r>
      <w:proofErr w:type="spellStart"/>
      <w:r w:rsidRPr="00AD7BA9">
        <w:rPr>
          <w:lang w:eastAsia="zh-CN"/>
        </w:rPr>
        <w:t>Begon</w:t>
      </w:r>
      <w:proofErr w:type="spellEnd"/>
      <w:r w:rsidR="000966D0">
        <w:rPr>
          <w:lang w:eastAsia="zh-CN"/>
        </w:rPr>
        <w:t xml:space="preserve"> </w:t>
      </w:r>
      <w:r w:rsidRPr="00AD7BA9">
        <w:rPr>
          <w:i/>
          <w:iCs/>
          <w:lang w:eastAsia="zh-CN"/>
        </w:rPr>
        <w:t>et al</w:t>
      </w:r>
      <w:r w:rsidRPr="00AD7BA9">
        <w:rPr>
          <w:lang w:eastAsia="zh-CN"/>
        </w:rPr>
        <w:t>. 1996): </w:t>
      </w:r>
    </w:p>
    <w:tbl>
      <w:tblPr>
        <w:tblW w:w="5310"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0" w:type="dxa"/>
          <w:left w:w="100" w:type="dxa"/>
          <w:bottom w:w="100" w:type="dxa"/>
          <w:right w:w="100" w:type="dxa"/>
        </w:tblCellMar>
        <w:tblLook w:val="04A0" w:firstRow="1" w:lastRow="0" w:firstColumn="1" w:lastColumn="0" w:noHBand="0" w:noVBand="1"/>
      </w:tblPr>
      <w:tblGrid>
        <w:gridCol w:w="865"/>
        <w:gridCol w:w="610"/>
        <w:gridCol w:w="790"/>
        <w:gridCol w:w="790"/>
        <w:gridCol w:w="790"/>
        <w:gridCol w:w="790"/>
        <w:gridCol w:w="670"/>
        <w:gridCol w:w="685"/>
      </w:tblGrid>
      <w:tr w:rsidR="008B26A4" w:rsidRPr="00AD7BA9" w14:paraId="7AB83417" w14:textId="77777777" w:rsidTr="000C6DAD">
        <w:trPr>
          <w:tblCellSpacing w:w="15" w:type="dxa"/>
          <w:jc w:val="center"/>
        </w:trPr>
        <w:tc>
          <w:tcPr>
            <w:tcW w:w="650" w:type="pct"/>
            <w:shd w:val="clear" w:color="auto" w:fill="auto"/>
            <w:vAlign w:val="center"/>
            <w:hideMark/>
          </w:tcPr>
          <w:p w14:paraId="2D27C213" w14:textId="77777777" w:rsidR="00AD7BA9" w:rsidRPr="00AD7BA9" w:rsidRDefault="00AD7BA9" w:rsidP="000C6DAD">
            <w:pPr>
              <w:pStyle w:val="TableContent"/>
              <w:jc w:val="center"/>
              <w:rPr>
                <w:lang w:eastAsia="zh-CN"/>
              </w:rPr>
            </w:pPr>
            <w:r w:rsidRPr="00AD7BA9">
              <w:rPr>
                <w:lang w:eastAsia="zh-CN"/>
              </w:rPr>
              <w:t>Age (days)</w:t>
            </w:r>
          </w:p>
        </w:tc>
        <w:tc>
          <w:tcPr>
            <w:tcW w:w="650" w:type="pct"/>
            <w:shd w:val="clear" w:color="auto" w:fill="auto"/>
            <w:vAlign w:val="center"/>
            <w:hideMark/>
          </w:tcPr>
          <w:p w14:paraId="694D289E" w14:textId="77777777" w:rsidR="00AD7BA9" w:rsidRPr="00AD7BA9" w:rsidRDefault="00AD7BA9" w:rsidP="000C6DAD">
            <w:pPr>
              <w:pStyle w:val="TableContent"/>
              <w:jc w:val="center"/>
              <w:rPr>
                <w:lang w:eastAsia="zh-CN"/>
              </w:rPr>
            </w:pPr>
            <w:r w:rsidRPr="00AD7BA9">
              <w:rPr>
                <w:lang w:eastAsia="zh-CN"/>
              </w:rPr>
              <w:t>a</w:t>
            </w:r>
            <w:r w:rsidRPr="00AD7BA9">
              <w:rPr>
                <w:vertAlign w:val="subscript"/>
                <w:lang w:eastAsia="zh-CN"/>
              </w:rPr>
              <w:t>x</w:t>
            </w:r>
          </w:p>
        </w:tc>
        <w:tc>
          <w:tcPr>
            <w:tcW w:w="650" w:type="pct"/>
            <w:shd w:val="clear" w:color="auto" w:fill="auto"/>
            <w:vAlign w:val="center"/>
            <w:hideMark/>
          </w:tcPr>
          <w:p w14:paraId="501C2DCF" w14:textId="77777777" w:rsidR="00AD7BA9" w:rsidRPr="00AD7BA9" w:rsidRDefault="00AD7BA9" w:rsidP="000C6DAD">
            <w:pPr>
              <w:pStyle w:val="TableContent"/>
              <w:jc w:val="center"/>
              <w:rPr>
                <w:lang w:eastAsia="zh-CN"/>
              </w:rPr>
            </w:pPr>
            <w:r w:rsidRPr="00AD7BA9">
              <w:rPr>
                <w:lang w:eastAsia="zh-CN"/>
              </w:rPr>
              <w:t>l</w:t>
            </w:r>
            <w:r w:rsidRPr="00AD7BA9">
              <w:rPr>
                <w:vertAlign w:val="subscript"/>
                <w:lang w:eastAsia="zh-CN"/>
              </w:rPr>
              <w:t>x</w:t>
            </w:r>
          </w:p>
        </w:tc>
        <w:tc>
          <w:tcPr>
            <w:tcW w:w="650" w:type="pct"/>
            <w:shd w:val="clear" w:color="auto" w:fill="auto"/>
            <w:vAlign w:val="center"/>
            <w:hideMark/>
          </w:tcPr>
          <w:p w14:paraId="64163411" w14:textId="77777777" w:rsidR="00AD7BA9" w:rsidRPr="00AD7BA9" w:rsidRDefault="00AD7BA9" w:rsidP="000C6DAD">
            <w:pPr>
              <w:pStyle w:val="TableContent"/>
              <w:jc w:val="center"/>
              <w:rPr>
                <w:lang w:eastAsia="zh-CN"/>
              </w:rPr>
            </w:pPr>
            <w:r w:rsidRPr="00AD7BA9">
              <w:rPr>
                <w:lang w:eastAsia="zh-CN"/>
              </w:rPr>
              <w:t>d</w:t>
            </w:r>
            <w:r w:rsidRPr="00AD7BA9">
              <w:rPr>
                <w:vertAlign w:val="subscript"/>
                <w:lang w:eastAsia="zh-CN"/>
              </w:rPr>
              <w:t>x</w:t>
            </w:r>
          </w:p>
        </w:tc>
        <w:tc>
          <w:tcPr>
            <w:tcW w:w="650" w:type="pct"/>
            <w:shd w:val="clear" w:color="auto" w:fill="auto"/>
            <w:vAlign w:val="center"/>
            <w:hideMark/>
          </w:tcPr>
          <w:p w14:paraId="42D85029" w14:textId="77777777" w:rsidR="00AD7BA9" w:rsidRPr="00AD7BA9" w:rsidRDefault="00AD7BA9" w:rsidP="000C6DAD">
            <w:pPr>
              <w:pStyle w:val="TableContent"/>
              <w:jc w:val="center"/>
              <w:rPr>
                <w:lang w:eastAsia="zh-CN"/>
              </w:rPr>
            </w:pPr>
            <w:proofErr w:type="spellStart"/>
            <w:r w:rsidRPr="00AD7BA9">
              <w:rPr>
                <w:lang w:eastAsia="zh-CN"/>
              </w:rPr>
              <w:t>q</w:t>
            </w:r>
            <w:r w:rsidRPr="00AD7BA9">
              <w:rPr>
                <w:vertAlign w:val="subscript"/>
                <w:lang w:eastAsia="zh-CN"/>
              </w:rPr>
              <w:t>x</w:t>
            </w:r>
            <w:proofErr w:type="spellEnd"/>
          </w:p>
        </w:tc>
        <w:tc>
          <w:tcPr>
            <w:tcW w:w="650" w:type="pct"/>
            <w:shd w:val="clear" w:color="auto" w:fill="auto"/>
            <w:vAlign w:val="center"/>
            <w:hideMark/>
          </w:tcPr>
          <w:p w14:paraId="7F880284" w14:textId="77777777" w:rsidR="00AD7BA9" w:rsidRPr="00AD7BA9" w:rsidRDefault="00AD7BA9" w:rsidP="000C6DAD">
            <w:pPr>
              <w:pStyle w:val="TableContent"/>
              <w:jc w:val="center"/>
              <w:rPr>
                <w:lang w:eastAsia="zh-CN"/>
              </w:rPr>
            </w:pPr>
            <w:proofErr w:type="spellStart"/>
            <w:r w:rsidRPr="00AD7BA9">
              <w:rPr>
                <w:lang w:eastAsia="zh-CN"/>
              </w:rPr>
              <w:t>F</w:t>
            </w:r>
            <w:r w:rsidRPr="00AD7BA9">
              <w:rPr>
                <w:vertAlign w:val="subscript"/>
                <w:lang w:eastAsia="zh-CN"/>
              </w:rPr>
              <w:t>x</w:t>
            </w:r>
            <w:proofErr w:type="spellEnd"/>
          </w:p>
        </w:tc>
        <w:tc>
          <w:tcPr>
            <w:tcW w:w="650" w:type="pct"/>
            <w:shd w:val="clear" w:color="auto" w:fill="auto"/>
            <w:vAlign w:val="center"/>
            <w:hideMark/>
          </w:tcPr>
          <w:p w14:paraId="1FD5890D" w14:textId="77777777" w:rsidR="00AD7BA9" w:rsidRPr="00AD7BA9" w:rsidRDefault="00AD7BA9" w:rsidP="000C6DAD">
            <w:pPr>
              <w:pStyle w:val="TableContent"/>
              <w:jc w:val="center"/>
              <w:rPr>
                <w:lang w:eastAsia="zh-CN"/>
              </w:rPr>
            </w:pPr>
            <w:r w:rsidRPr="00AD7BA9">
              <w:rPr>
                <w:lang w:eastAsia="zh-CN"/>
              </w:rPr>
              <w:t>m</w:t>
            </w:r>
            <w:r w:rsidRPr="00AD7BA9">
              <w:rPr>
                <w:vertAlign w:val="subscript"/>
                <w:lang w:eastAsia="zh-CN"/>
              </w:rPr>
              <w:t>x</w:t>
            </w:r>
          </w:p>
        </w:tc>
        <w:tc>
          <w:tcPr>
            <w:tcW w:w="650" w:type="pct"/>
            <w:shd w:val="clear" w:color="auto" w:fill="auto"/>
            <w:vAlign w:val="center"/>
            <w:hideMark/>
          </w:tcPr>
          <w:p w14:paraId="5DF77E61" w14:textId="77777777" w:rsidR="00AD7BA9" w:rsidRPr="00AD7BA9" w:rsidRDefault="00AD7BA9" w:rsidP="000C6DAD">
            <w:pPr>
              <w:pStyle w:val="TableContent"/>
              <w:jc w:val="center"/>
              <w:rPr>
                <w:lang w:eastAsia="zh-CN"/>
              </w:rPr>
            </w:pPr>
            <w:proofErr w:type="spellStart"/>
            <w:r w:rsidRPr="00AD7BA9">
              <w:rPr>
                <w:lang w:eastAsia="zh-CN"/>
              </w:rPr>
              <w:t>l</w:t>
            </w:r>
            <w:r w:rsidRPr="00AD7BA9">
              <w:rPr>
                <w:vertAlign w:val="subscript"/>
                <w:lang w:eastAsia="zh-CN"/>
              </w:rPr>
              <w:t>x</w:t>
            </w:r>
            <w:r w:rsidRPr="00AD7BA9">
              <w:rPr>
                <w:lang w:eastAsia="zh-CN"/>
              </w:rPr>
              <w:t>m</w:t>
            </w:r>
            <w:r w:rsidRPr="00AD7BA9">
              <w:rPr>
                <w:vertAlign w:val="subscript"/>
                <w:lang w:eastAsia="zh-CN"/>
              </w:rPr>
              <w:t>x</w:t>
            </w:r>
            <w:proofErr w:type="spellEnd"/>
          </w:p>
        </w:tc>
      </w:tr>
      <w:tr w:rsidR="008B26A4" w:rsidRPr="00AD7BA9" w14:paraId="4E72A088" w14:textId="77777777" w:rsidTr="000C6DAD">
        <w:trPr>
          <w:tblCellSpacing w:w="15" w:type="dxa"/>
          <w:jc w:val="center"/>
        </w:trPr>
        <w:tc>
          <w:tcPr>
            <w:tcW w:w="650" w:type="pct"/>
            <w:shd w:val="clear" w:color="auto" w:fill="auto"/>
            <w:vAlign w:val="center"/>
            <w:hideMark/>
          </w:tcPr>
          <w:p w14:paraId="07B342EE" w14:textId="77777777" w:rsidR="00AD7BA9" w:rsidRPr="00AD7BA9" w:rsidRDefault="00AD7BA9" w:rsidP="000C6DAD">
            <w:pPr>
              <w:pStyle w:val="TableContent"/>
              <w:jc w:val="center"/>
              <w:rPr>
                <w:lang w:eastAsia="zh-CN"/>
              </w:rPr>
            </w:pPr>
            <w:r w:rsidRPr="00AD7BA9">
              <w:rPr>
                <w:lang w:eastAsia="zh-CN"/>
              </w:rPr>
              <w:t>0-63</w:t>
            </w:r>
          </w:p>
        </w:tc>
        <w:tc>
          <w:tcPr>
            <w:tcW w:w="650" w:type="pct"/>
            <w:shd w:val="clear" w:color="auto" w:fill="auto"/>
            <w:vAlign w:val="center"/>
            <w:hideMark/>
          </w:tcPr>
          <w:p w14:paraId="031B5F95" w14:textId="77777777" w:rsidR="00AD7BA9" w:rsidRPr="00AD7BA9" w:rsidRDefault="00AD7BA9" w:rsidP="000C6DAD">
            <w:pPr>
              <w:pStyle w:val="TableContent"/>
              <w:jc w:val="center"/>
              <w:rPr>
                <w:lang w:eastAsia="zh-CN"/>
              </w:rPr>
            </w:pPr>
            <w:r w:rsidRPr="00AD7BA9">
              <w:rPr>
                <w:lang w:eastAsia="zh-CN"/>
              </w:rPr>
              <w:t>996</w:t>
            </w:r>
          </w:p>
        </w:tc>
        <w:tc>
          <w:tcPr>
            <w:tcW w:w="650" w:type="pct"/>
            <w:shd w:val="clear" w:color="auto" w:fill="auto"/>
            <w:vAlign w:val="center"/>
            <w:hideMark/>
          </w:tcPr>
          <w:p w14:paraId="4C2E96AB" w14:textId="77777777" w:rsidR="00AD7BA9" w:rsidRPr="00AD7BA9" w:rsidRDefault="00AD7BA9" w:rsidP="000C6DAD">
            <w:pPr>
              <w:pStyle w:val="TableContent"/>
              <w:jc w:val="center"/>
              <w:rPr>
                <w:lang w:eastAsia="zh-CN"/>
              </w:rPr>
            </w:pPr>
            <w:r w:rsidRPr="00AD7BA9">
              <w:rPr>
                <w:lang w:eastAsia="zh-CN"/>
              </w:rPr>
              <w:t>1.000</w:t>
            </w:r>
          </w:p>
        </w:tc>
        <w:tc>
          <w:tcPr>
            <w:tcW w:w="650" w:type="pct"/>
            <w:shd w:val="clear" w:color="auto" w:fill="auto"/>
            <w:vAlign w:val="center"/>
            <w:hideMark/>
          </w:tcPr>
          <w:p w14:paraId="3256F92A" w14:textId="77777777" w:rsidR="00AD7BA9" w:rsidRPr="00AD7BA9" w:rsidRDefault="00AD7BA9" w:rsidP="000C6DAD">
            <w:pPr>
              <w:pStyle w:val="TableContent"/>
              <w:jc w:val="center"/>
              <w:rPr>
                <w:lang w:eastAsia="zh-CN"/>
              </w:rPr>
            </w:pPr>
            <w:r w:rsidRPr="00AD7BA9">
              <w:rPr>
                <w:lang w:eastAsia="zh-CN"/>
              </w:rPr>
              <w:t>0.329</w:t>
            </w:r>
          </w:p>
        </w:tc>
        <w:tc>
          <w:tcPr>
            <w:tcW w:w="650" w:type="pct"/>
            <w:shd w:val="clear" w:color="auto" w:fill="auto"/>
            <w:vAlign w:val="center"/>
            <w:hideMark/>
          </w:tcPr>
          <w:p w14:paraId="4DA17EF9" w14:textId="77777777" w:rsidR="00AD7BA9" w:rsidRPr="00AD7BA9" w:rsidRDefault="00AD7BA9" w:rsidP="000C6DAD">
            <w:pPr>
              <w:pStyle w:val="TableContent"/>
              <w:jc w:val="center"/>
              <w:rPr>
                <w:lang w:eastAsia="zh-CN"/>
              </w:rPr>
            </w:pPr>
            <w:r w:rsidRPr="00AD7BA9">
              <w:rPr>
                <w:lang w:eastAsia="zh-CN"/>
              </w:rPr>
              <w:t>0.006</w:t>
            </w:r>
          </w:p>
        </w:tc>
        <w:tc>
          <w:tcPr>
            <w:tcW w:w="650" w:type="pct"/>
            <w:shd w:val="clear" w:color="auto" w:fill="auto"/>
            <w:vAlign w:val="center"/>
            <w:hideMark/>
          </w:tcPr>
          <w:p w14:paraId="4790F192" w14:textId="77777777" w:rsidR="00AD7BA9" w:rsidRPr="00AD7BA9" w:rsidRDefault="00AD7BA9" w:rsidP="000C6DAD">
            <w:pPr>
              <w:pStyle w:val="TableContent"/>
              <w:jc w:val="center"/>
              <w:rPr>
                <w:lang w:eastAsia="zh-CN"/>
              </w:rPr>
            </w:pPr>
            <w:r w:rsidRPr="00AD7BA9">
              <w:rPr>
                <w:lang w:eastAsia="zh-CN"/>
              </w:rPr>
              <w:t>--</w:t>
            </w:r>
          </w:p>
        </w:tc>
        <w:tc>
          <w:tcPr>
            <w:tcW w:w="650" w:type="pct"/>
            <w:shd w:val="clear" w:color="auto" w:fill="auto"/>
            <w:vAlign w:val="center"/>
            <w:hideMark/>
          </w:tcPr>
          <w:p w14:paraId="1E904316" w14:textId="77777777" w:rsidR="00AD7BA9" w:rsidRPr="00AD7BA9" w:rsidRDefault="00AD7BA9" w:rsidP="000C6DAD">
            <w:pPr>
              <w:pStyle w:val="TableContent"/>
              <w:jc w:val="center"/>
              <w:rPr>
                <w:lang w:eastAsia="zh-CN"/>
              </w:rPr>
            </w:pPr>
            <w:r w:rsidRPr="00AD7BA9">
              <w:rPr>
                <w:lang w:eastAsia="zh-CN"/>
              </w:rPr>
              <w:t>--</w:t>
            </w:r>
          </w:p>
        </w:tc>
        <w:tc>
          <w:tcPr>
            <w:tcW w:w="650" w:type="pct"/>
            <w:shd w:val="clear" w:color="auto" w:fill="auto"/>
            <w:vAlign w:val="center"/>
            <w:hideMark/>
          </w:tcPr>
          <w:p w14:paraId="1F6A5CB0" w14:textId="77777777" w:rsidR="00AD7BA9" w:rsidRPr="00AD7BA9" w:rsidRDefault="00AD7BA9" w:rsidP="000C6DAD">
            <w:pPr>
              <w:pStyle w:val="TableContent"/>
              <w:jc w:val="center"/>
              <w:rPr>
                <w:lang w:eastAsia="zh-CN"/>
              </w:rPr>
            </w:pPr>
            <w:r w:rsidRPr="00AD7BA9">
              <w:rPr>
                <w:lang w:eastAsia="zh-CN"/>
              </w:rPr>
              <w:t>--</w:t>
            </w:r>
          </w:p>
        </w:tc>
      </w:tr>
      <w:tr w:rsidR="008B26A4" w:rsidRPr="00AD7BA9" w14:paraId="6D48105B" w14:textId="77777777" w:rsidTr="000C6DAD">
        <w:trPr>
          <w:tblCellSpacing w:w="15" w:type="dxa"/>
          <w:jc w:val="center"/>
        </w:trPr>
        <w:tc>
          <w:tcPr>
            <w:tcW w:w="650" w:type="pct"/>
            <w:shd w:val="clear" w:color="auto" w:fill="auto"/>
            <w:vAlign w:val="center"/>
            <w:hideMark/>
          </w:tcPr>
          <w:p w14:paraId="1E855E05" w14:textId="77777777" w:rsidR="00AD7BA9" w:rsidRPr="00AD7BA9" w:rsidRDefault="00AD7BA9" w:rsidP="000C6DAD">
            <w:pPr>
              <w:pStyle w:val="TableContent"/>
              <w:jc w:val="center"/>
              <w:rPr>
                <w:lang w:eastAsia="zh-CN"/>
              </w:rPr>
            </w:pPr>
            <w:r w:rsidRPr="00AD7BA9">
              <w:rPr>
                <w:lang w:eastAsia="zh-CN"/>
              </w:rPr>
              <w:lastRenderedPageBreak/>
              <w:t>63-124</w:t>
            </w:r>
          </w:p>
        </w:tc>
        <w:tc>
          <w:tcPr>
            <w:tcW w:w="650" w:type="pct"/>
            <w:shd w:val="clear" w:color="auto" w:fill="auto"/>
            <w:vAlign w:val="center"/>
            <w:hideMark/>
          </w:tcPr>
          <w:p w14:paraId="7D74ACC5" w14:textId="77777777" w:rsidR="00AD7BA9" w:rsidRPr="00AD7BA9" w:rsidRDefault="00AD7BA9" w:rsidP="000C6DAD">
            <w:pPr>
              <w:pStyle w:val="TableContent"/>
              <w:jc w:val="center"/>
              <w:rPr>
                <w:lang w:eastAsia="zh-CN"/>
              </w:rPr>
            </w:pPr>
            <w:r w:rsidRPr="00AD7BA9">
              <w:rPr>
                <w:lang w:eastAsia="zh-CN"/>
              </w:rPr>
              <w:t>668</w:t>
            </w:r>
          </w:p>
        </w:tc>
        <w:tc>
          <w:tcPr>
            <w:tcW w:w="650" w:type="pct"/>
            <w:shd w:val="clear" w:color="auto" w:fill="auto"/>
            <w:vAlign w:val="center"/>
            <w:hideMark/>
          </w:tcPr>
          <w:p w14:paraId="0015024C" w14:textId="77777777" w:rsidR="00AD7BA9" w:rsidRPr="00AD7BA9" w:rsidRDefault="00AD7BA9" w:rsidP="000C6DAD">
            <w:pPr>
              <w:pStyle w:val="TableContent"/>
              <w:jc w:val="center"/>
              <w:rPr>
                <w:lang w:eastAsia="zh-CN"/>
              </w:rPr>
            </w:pPr>
            <w:r w:rsidRPr="00AD7BA9">
              <w:rPr>
                <w:lang w:eastAsia="zh-CN"/>
              </w:rPr>
              <w:t>0.671</w:t>
            </w:r>
          </w:p>
        </w:tc>
        <w:tc>
          <w:tcPr>
            <w:tcW w:w="650" w:type="pct"/>
            <w:shd w:val="clear" w:color="auto" w:fill="auto"/>
            <w:vAlign w:val="center"/>
            <w:hideMark/>
          </w:tcPr>
          <w:p w14:paraId="4105D37C" w14:textId="77777777" w:rsidR="00AD7BA9" w:rsidRPr="00AD7BA9" w:rsidRDefault="00AD7BA9" w:rsidP="000C6DAD">
            <w:pPr>
              <w:pStyle w:val="TableContent"/>
              <w:jc w:val="center"/>
              <w:rPr>
                <w:lang w:eastAsia="zh-CN"/>
              </w:rPr>
            </w:pPr>
            <w:r w:rsidRPr="00AD7BA9">
              <w:rPr>
                <w:lang w:eastAsia="zh-CN"/>
              </w:rPr>
              <w:t>0.375</w:t>
            </w:r>
          </w:p>
        </w:tc>
        <w:tc>
          <w:tcPr>
            <w:tcW w:w="650" w:type="pct"/>
            <w:shd w:val="clear" w:color="auto" w:fill="auto"/>
            <w:vAlign w:val="center"/>
            <w:hideMark/>
          </w:tcPr>
          <w:p w14:paraId="178F0688" w14:textId="77777777" w:rsidR="00AD7BA9" w:rsidRPr="00AD7BA9" w:rsidRDefault="00AD7BA9" w:rsidP="000C6DAD">
            <w:pPr>
              <w:pStyle w:val="TableContent"/>
              <w:jc w:val="center"/>
              <w:rPr>
                <w:lang w:eastAsia="zh-CN"/>
              </w:rPr>
            </w:pPr>
            <w:r w:rsidRPr="00AD7BA9">
              <w:rPr>
                <w:lang w:eastAsia="zh-CN"/>
              </w:rPr>
              <w:t>0.013</w:t>
            </w:r>
          </w:p>
        </w:tc>
        <w:tc>
          <w:tcPr>
            <w:tcW w:w="650" w:type="pct"/>
            <w:shd w:val="clear" w:color="auto" w:fill="auto"/>
            <w:vAlign w:val="center"/>
            <w:hideMark/>
          </w:tcPr>
          <w:p w14:paraId="64FA3F49" w14:textId="77777777" w:rsidR="00AD7BA9" w:rsidRPr="00AD7BA9" w:rsidRDefault="00AD7BA9" w:rsidP="000C6DAD">
            <w:pPr>
              <w:pStyle w:val="TableContent"/>
              <w:jc w:val="center"/>
              <w:rPr>
                <w:lang w:eastAsia="zh-CN"/>
              </w:rPr>
            </w:pPr>
            <w:r w:rsidRPr="00AD7BA9">
              <w:rPr>
                <w:lang w:eastAsia="zh-CN"/>
              </w:rPr>
              <w:t>--</w:t>
            </w:r>
          </w:p>
        </w:tc>
        <w:tc>
          <w:tcPr>
            <w:tcW w:w="650" w:type="pct"/>
            <w:shd w:val="clear" w:color="auto" w:fill="auto"/>
            <w:vAlign w:val="center"/>
            <w:hideMark/>
          </w:tcPr>
          <w:p w14:paraId="6F5AAFFA" w14:textId="77777777" w:rsidR="00AD7BA9" w:rsidRPr="00AD7BA9" w:rsidRDefault="00AD7BA9" w:rsidP="000C6DAD">
            <w:pPr>
              <w:pStyle w:val="TableContent"/>
              <w:jc w:val="center"/>
              <w:rPr>
                <w:lang w:eastAsia="zh-CN"/>
              </w:rPr>
            </w:pPr>
            <w:r w:rsidRPr="00AD7BA9">
              <w:rPr>
                <w:lang w:eastAsia="zh-CN"/>
              </w:rPr>
              <w:t>--</w:t>
            </w:r>
          </w:p>
        </w:tc>
        <w:tc>
          <w:tcPr>
            <w:tcW w:w="650" w:type="pct"/>
            <w:shd w:val="clear" w:color="auto" w:fill="auto"/>
            <w:vAlign w:val="center"/>
            <w:hideMark/>
          </w:tcPr>
          <w:p w14:paraId="051E0F92" w14:textId="77777777" w:rsidR="00AD7BA9" w:rsidRPr="00AD7BA9" w:rsidRDefault="00AD7BA9" w:rsidP="000C6DAD">
            <w:pPr>
              <w:pStyle w:val="TableContent"/>
              <w:jc w:val="center"/>
              <w:rPr>
                <w:lang w:eastAsia="zh-CN"/>
              </w:rPr>
            </w:pPr>
            <w:r w:rsidRPr="00AD7BA9">
              <w:rPr>
                <w:lang w:eastAsia="zh-CN"/>
              </w:rPr>
              <w:t>--</w:t>
            </w:r>
          </w:p>
        </w:tc>
      </w:tr>
      <w:tr w:rsidR="008B26A4" w:rsidRPr="00AD7BA9" w14:paraId="666D5702" w14:textId="77777777" w:rsidTr="000C6DAD">
        <w:trPr>
          <w:tblCellSpacing w:w="15" w:type="dxa"/>
          <w:jc w:val="center"/>
        </w:trPr>
        <w:tc>
          <w:tcPr>
            <w:tcW w:w="650" w:type="pct"/>
            <w:shd w:val="clear" w:color="auto" w:fill="auto"/>
            <w:vAlign w:val="center"/>
            <w:hideMark/>
          </w:tcPr>
          <w:p w14:paraId="00A8555E" w14:textId="77777777" w:rsidR="00AD7BA9" w:rsidRPr="00AD7BA9" w:rsidRDefault="00AD7BA9" w:rsidP="000C6DAD">
            <w:pPr>
              <w:pStyle w:val="TableContent"/>
              <w:jc w:val="center"/>
              <w:rPr>
                <w:lang w:eastAsia="zh-CN"/>
              </w:rPr>
            </w:pPr>
            <w:r w:rsidRPr="00AD7BA9">
              <w:rPr>
                <w:lang w:eastAsia="zh-CN"/>
              </w:rPr>
              <w:t>124-184</w:t>
            </w:r>
          </w:p>
        </w:tc>
        <w:tc>
          <w:tcPr>
            <w:tcW w:w="650" w:type="pct"/>
            <w:shd w:val="clear" w:color="auto" w:fill="auto"/>
            <w:vAlign w:val="center"/>
            <w:hideMark/>
          </w:tcPr>
          <w:p w14:paraId="54DFB69D" w14:textId="77777777" w:rsidR="00AD7BA9" w:rsidRPr="00AD7BA9" w:rsidRDefault="00AD7BA9" w:rsidP="000C6DAD">
            <w:pPr>
              <w:pStyle w:val="TableContent"/>
              <w:jc w:val="center"/>
              <w:rPr>
                <w:lang w:eastAsia="zh-CN"/>
              </w:rPr>
            </w:pPr>
            <w:r w:rsidRPr="00AD7BA9">
              <w:rPr>
                <w:lang w:eastAsia="zh-CN"/>
              </w:rPr>
              <w:t>295</w:t>
            </w:r>
          </w:p>
        </w:tc>
        <w:tc>
          <w:tcPr>
            <w:tcW w:w="650" w:type="pct"/>
            <w:shd w:val="clear" w:color="auto" w:fill="auto"/>
            <w:vAlign w:val="center"/>
            <w:hideMark/>
          </w:tcPr>
          <w:p w14:paraId="256D791C" w14:textId="77777777" w:rsidR="00AD7BA9" w:rsidRPr="00AD7BA9" w:rsidRDefault="00AD7BA9" w:rsidP="000C6DAD">
            <w:pPr>
              <w:pStyle w:val="TableContent"/>
              <w:jc w:val="center"/>
              <w:rPr>
                <w:lang w:eastAsia="zh-CN"/>
              </w:rPr>
            </w:pPr>
            <w:r w:rsidRPr="00AD7BA9">
              <w:rPr>
                <w:lang w:eastAsia="zh-CN"/>
              </w:rPr>
              <w:t>0.296</w:t>
            </w:r>
          </w:p>
        </w:tc>
        <w:tc>
          <w:tcPr>
            <w:tcW w:w="650" w:type="pct"/>
            <w:shd w:val="clear" w:color="auto" w:fill="auto"/>
            <w:vAlign w:val="center"/>
            <w:hideMark/>
          </w:tcPr>
          <w:p w14:paraId="73CBDE77" w14:textId="77777777" w:rsidR="00AD7BA9" w:rsidRPr="00AD7BA9" w:rsidRDefault="00AD7BA9" w:rsidP="000C6DAD">
            <w:pPr>
              <w:pStyle w:val="TableContent"/>
              <w:jc w:val="center"/>
              <w:rPr>
                <w:lang w:eastAsia="zh-CN"/>
              </w:rPr>
            </w:pPr>
            <w:r w:rsidRPr="00AD7BA9">
              <w:rPr>
                <w:lang w:eastAsia="zh-CN"/>
              </w:rPr>
              <w:t>0.105</w:t>
            </w:r>
          </w:p>
        </w:tc>
        <w:tc>
          <w:tcPr>
            <w:tcW w:w="650" w:type="pct"/>
            <w:shd w:val="clear" w:color="auto" w:fill="auto"/>
            <w:vAlign w:val="center"/>
            <w:hideMark/>
          </w:tcPr>
          <w:p w14:paraId="6F227D61" w14:textId="77777777" w:rsidR="00AD7BA9" w:rsidRPr="00AD7BA9" w:rsidRDefault="00AD7BA9" w:rsidP="000C6DAD">
            <w:pPr>
              <w:pStyle w:val="TableContent"/>
              <w:jc w:val="center"/>
              <w:rPr>
                <w:lang w:eastAsia="zh-CN"/>
              </w:rPr>
            </w:pPr>
            <w:r w:rsidRPr="00AD7BA9">
              <w:rPr>
                <w:lang w:eastAsia="zh-CN"/>
              </w:rPr>
              <w:t>0.007</w:t>
            </w:r>
          </w:p>
        </w:tc>
        <w:tc>
          <w:tcPr>
            <w:tcW w:w="650" w:type="pct"/>
            <w:shd w:val="clear" w:color="auto" w:fill="auto"/>
            <w:vAlign w:val="center"/>
            <w:hideMark/>
          </w:tcPr>
          <w:p w14:paraId="1930DFB6" w14:textId="77777777" w:rsidR="00AD7BA9" w:rsidRPr="00AD7BA9" w:rsidRDefault="00AD7BA9" w:rsidP="000C6DAD">
            <w:pPr>
              <w:pStyle w:val="TableContent"/>
              <w:jc w:val="center"/>
              <w:rPr>
                <w:lang w:eastAsia="zh-CN"/>
              </w:rPr>
            </w:pPr>
            <w:r w:rsidRPr="00AD7BA9">
              <w:rPr>
                <w:lang w:eastAsia="zh-CN"/>
              </w:rPr>
              <w:t>--</w:t>
            </w:r>
          </w:p>
        </w:tc>
        <w:tc>
          <w:tcPr>
            <w:tcW w:w="650" w:type="pct"/>
            <w:shd w:val="clear" w:color="auto" w:fill="auto"/>
            <w:vAlign w:val="center"/>
            <w:hideMark/>
          </w:tcPr>
          <w:p w14:paraId="03030B22" w14:textId="77777777" w:rsidR="00AD7BA9" w:rsidRPr="00AD7BA9" w:rsidRDefault="00AD7BA9" w:rsidP="000C6DAD">
            <w:pPr>
              <w:pStyle w:val="TableContent"/>
              <w:jc w:val="center"/>
              <w:rPr>
                <w:lang w:eastAsia="zh-CN"/>
              </w:rPr>
            </w:pPr>
            <w:r w:rsidRPr="00AD7BA9">
              <w:rPr>
                <w:lang w:eastAsia="zh-CN"/>
              </w:rPr>
              <w:t>--</w:t>
            </w:r>
          </w:p>
        </w:tc>
        <w:tc>
          <w:tcPr>
            <w:tcW w:w="650" w:type="pct"/>
            <w:shd w:val="clear" w:color="auto" w:fill="auto"/>
            <w:vAlign w:val="center"/>
            <w:hideMark/>
          </w:tcPr>
          <w:p w14:paraId="26CECBCE" w14:textId="77777777" w:rsidR="00AD7BA9" w:rsidRPr="00AD7BA9" w:rsidRDefault="00AD7BA9" w:rsidP="000C6DAD">
            <w:pPr>
              <w:pStyle w:val="TableContent"/>
              <w:jc w:val="center"/>
              <w:rPr>
                <w:lang w:eastAsia="zh-CN"/>
              </w:rPr>
            </w:pPr>
            <w:r w:rsidRPr="00AD7BA9">
              <w:rPr>
                <w:lang w:eastAsia="zh-CN"/>
              </w:rPr>
              <w:t>--</w:t>
            </w:r>
          </w:p>
        </w:tc>
      </w:tr>
      <w:tr w:rsidR="008B26A4" w:rsidRPr="00AD7BA9" w14:paraId="7E241E01" w14:textId="77777777" w:rsidTr="000C6DAD">
        <w:trPr>
          <w:tblCellSpacing w:w="15" w:type="dxa"/>
          <w:jc w:val="center"/>
        </w:trPr>
        <w:tc>
          <w:tcPr>
            <w:tcW w:w="650" w:type="pct"/>
            <w:shd w:val="clear" w:color="auto" w:fill="auto"/>
            <w:vAlign w:val="center"/>
            <w:hideMark/>
          </w:tcPr>
          <w:p w14:paraId="0BAFC8E9" w14:textId="77777777" w:rsidR="00AD7BA9" w:rsidRPr="00AD7BA9" w:rsidRDefault="00AD7BA9" w:rsidP="000C6DAD">
            <w:pPr>
              <w:pStyle w:val="TableContent"/>
              <w:jc w:val="center"/>
              <w:rPr>
                <w:lang w:eastAsia="zh-CN"/>
              </w:rPr>
            </w:pPr>
            <w:r w:rsidRPr="00AD7BA9">
              <w:rPr>
                <w:lang w:eastAsia="zh-CN"/>
              </w:rPr>
              <w:t>184-215</w:t>
            </w:r>
          </w:p>
        </w:tc>
        <w:tc>
          <w:tcPr>
            <w:tcW w:w="650" w:type="pct"/>
            <w:shd w:val="clear" w:color="auto" w:fill="auto"/>
            <w:vAlign w:val="center"/>
            <w:hideMark/>
          </w:tcPr>
          <w:p w14:paraId="71BB5CAC" w14:textId="77777777" w:rsidR="00AD7BA9" w:rsidRPr="00AD7BA9" w:rsidRDefault="00AD7BA9" w:rsidP="000C6DAD">
            <w:pPr>
              <w:pStyle w:val="TableContent"/>
              <w:jc w:val="center"/>
              <w:rPr>
                <w:lang w:eastAsia="zh-CN"/>
              </w:rPr>
            </w:pPr>
            <w:r w:rsidRPr="00AD7BA9">
              <w:rPr>
                <w:lang w:eastAsia="zh-CN"/>
              </w:rPr>
              <w:t>190</w:t>
            </w:r>
          </w:p>
        </w:tc>
        <w:tc>
          <w:tcPr>
            <w:tcW w:w="650" w:type="pct"/>
            <w:shd w:val="clear" w:color="auto" w:fill="auto"/>
            <w:vAlign w:val="center"/>
            <w:hideMark/>
          </w:tcPr>
          <w:p w14:paraId="3BDF1E02" w14:textId="77777777" w:rsidR="00AD7BA9" w:rsidRPr="00AD7BA9" w:rsidRDefault="00AD7BA9" w:rsidP="000C6DAD">
            <w:pPr>
              <w:pStyle w:val="TableContent"/>
              <w:jc w:val="center"/>
              <w:rPr>
                <w:lang w:eastAsia="zh-CN"/>
              </w:rPr>
            </w:pPr>
            <w:r w:rsidRPr="00AD7BA9">
              <w:rPr>
                <w:lang w:eastAsia="zh-CN"/>
              </w:rPr>
              <w:t>0.191</w:t>
            </w:r>
          </w:p>
        </w:tc>
        <w:tc>
          <w:tcPr>
            <w:tcW w:w="650" w:type="pct"/>
            <w:shd w:val="clear" w:color="auto" w:fill="auto"/>
            <w:vAlign w:val="center"/>
            <w:hideMark/>
          </w:tcPr>
          <w:p w14:paraId="798EFF60" w14:textId="77777777" w:rsidR="00AD7BA9" w:rsidRPr="00AD7BA9" w:rsidRDefault="00AD7BA9" w:rsidP="000C6DAD">
            <w:pPr>
              <w:pStyle w:val="TableContent"/>
              <w:jc w:val="center"/>
              <w:rPr>
                <w:lang w:eastAsia="zh-CN"/>
              </w:rPr>
            </w:pPr>
            <w:r w:rsidRPr="00AD7BA9">
              <w:rPr>
                <w:lang w:eastAsia="zh-CN"/>
              </w:rPr>
              <w:t>0.014</w:t>
            </w:r>
          </w:p>
        </w:tc>
        <w:tc>
          <w:tcPr>
            <w:tcW w:w="650" w:type="pct"/>
            <w:shd w:val="clear" w:color="auto" w:fill="auto"/>
            <w:vAlign w:val="center"/>
            <w:hideMark/>
          </w:tcPr>
          <w:p w14:paraId="7DE7FF1B" w14:textId="77777777" w:rsidR="00AD7BA9" w:rsidRPr="00AD7BA9" w:rsidRDefault="00AD7BA9" w:rsidP="000C6DAD">
            <w:pPr>
              <w:pStyle w:val="TableContent"/>
              <w:jc w:val="center"/>
              <w:rPr>
                <w:lang w:eastAsia="zh-CN"/>
              </w:rPr>
            </w:pPr>
            <w:r w:rsidRPr="00AD7BA9">
              <w:rPr>
                <w:lang w:eastAsia="zh-CN"/>
              </w:rPr>
              <w:t>0.003</w:t>
            </w:r>
          </w:p>
        </w:tc>
        <w:tc>
          <w:tcPr>
            <w:tcW w:w="650" w:type="pct"/>
            <w:shd w:val="clear" w:color="auto" w:fill="auto"/>
            <w:vAlign w:val="center"/>
            <w:hideMark/>
          </w:tcPr>
          <w:p w14:paraId="4832AB1D" w14:textId="77777777" w:rsidR="00AD7BA9" w:rsidRPr="00AD7BA9" w:rsidRDefault="00AD7BA9" w:rsidP="000C6DAD">
            <w:pPr>
              <w:pStyle w:val="TableContent"/>
              <w:jc w:val="center"/>
              <w:rPr>
                <w:lang w:eastAsia="zh-CN"/>
              </w:rPr>
            </w:pPr>
            <w:r w:rsidRPr="00AD7BA9">
              <w:rPr>
                <w:lang w:eastAsia="zh-CN"/>
              </w:rPr>
              <w:t>--</w:t>
            </w:r>
          </w:p>
        </w:tc>
        <w:tc>
          <w:tcPr>
            <w:tcW w:w="650" w:type="pct"/>
            <w:shd w:val="clear" w:color="auto" w:fill="auto"/>
            <w:vAlign w:val="center"/>
            <w:hideMark/>
          </w:tcPr>
          <w:p w14:paraId="5ADB5E8F" w14:textId="77777777" w:rsidR="00AD7BA9" w:rsidRPr="00AD7BA9" w:rsidRDefault="00AD7BA9" w:rsidP="000C6DAD">
            <w:pPr>
              <w:pStyle w:val="TableContent"/>
              <w:jc w:val="center"/>
              <w:rPr>
                <w:lang w:eastAsia="zh-CN"/>
              </w:rPr>
            </w:pPr>
            <w:r w:rsidRPr="00AD7BA9">
              <w:rPr>
                <w:lang w:eastAsia="zh-CN"/>
              </w:rPr>
              <w:t>--</w:t>
            </w:r>
          </w:p>
        </w:tc>
        <w:tc>
          <w:tcPr>
            <w:tcW w:w="650" w:type="pct"/>
            <w:shd w:val="clear" w:color="auto" w:fill="auto"/>
            <w:vAlign w:val="center"/>
            <w:hideMark/>
          </w:tcPr>
          <w:p w14:paraId="2CC78AC9" w14:textId="77777777" w:rsidR="00AD7BA9" w:rsidRPr="00AD7BA9" w:rsidRDefault="00AD7BA9" w:rsidP="000C6DAD">
            <w:pPr>
              <w:pStyle w:val="TableContent"/>
              <w:jc w:val="center"/>
              <w:rPr>
                <w:lang w:eastAsia="zh-CN"/>
              </w:rPr>
            </w:pPr>
            <w:r w:rsidRPr="00AD7BA9">
              <w:rPr>
                <w:lang w:eastAsia="zh-CN"/>
              </w:rPr>
              <w:t>--</w:t>
            </w:r>
          </w:p>
        </w:tc>
      </w:tr>
      <w:tr w:rsidR="008B26A4" w:rsidRPr="00AD7BA9" w14:paraId="77A2FB3E" w14:textId="77777777" w:rsidTr="000C6DAD">
        <w:trPr>
          <w:tblCellSpacing w:w="15" w:type="dxa"/>
          <w:jc w:val="center"/>
        </w:trPr>
        <w:tc>
          <w:tcPr>
            <w:tcW w:w="650" w:type="pct"/>
            <w:shd w:val="clear" w:color="auto" w:fill="auto"/>
            <w:vAlign w:val="center"/>
            <w:hideMark/>
          </w:tcPr>
          <w:p w14:paraId="4A9FF629" w14:textId="77777777" w:rsidR="00AD7BA9" w:rsidRPr="00AD7BA9" w:rsidRDefault="00AD7BA9" w:rsidP="000C6DAD">
            <w:pPr>
              <w:pStyle w:val="TableContent"/>
              <w:jc w:val="center"/>
              <w:rPr>
                <w:lang w:eastAsia="zh-CN"/>
              </w:rPr>
            </w:pPr>
            <w:r w:rsidRPr="00AD7BA9">
              <w:rPr>
                <w:lang w:eastAsia="zh-CN"/>
              </w:rPr>
              <w:t>215-264</w:t>
            </w:r>
          </w:p>
        </w:tc>
        <w:tc>
          <w:tcPr>
            <w:tcW w:w="650" w:type="pct"/>
            <w:shd w:val="clear" w:color="auto" w:fill="auto"/>
            <w:vAlign w:val="center"/>
            <w:hideMark/>
          </w:tcPr>
          <w:p w14:paraId="75B36F03" w14:textId="77777777" w:rsidR="00AD7BA9" w:rsidRPr="00AD7BA9" w:rsidRDefault="00AD7BA9" w:rsidP="000C6DAD">
            <w:pPr>
              <w:pStyle w:val="TableContent"/>
              <w:jc w:val="center"/>
              <w:rPr>
                <w:lang w:eastAsia="zh-CN"/>
              </w:rPr>
            </w:pPr>
            <w:r w:rsidRPr="00AD7BA9">
              <w:rPr>
                <w:lang w:eastAsia="zh-CN"/>
              </w:rPr>
              <w:t>176</w:t>
            </w:r>
          </w:p>
        </w:tc>
        <w:tc>
          <w:tcPr>
            <w:tcW w:w="650" w:type="pct"/>
            <w:shd w:val="clear" w:color="auto" w:fill="auto"/>
            <w:vAlign w:val="center"/>
            <w:hideMark/>
          </w:tcPr>
          <w:p w14:paraId="7FB6CA69" w14:textId="77777777" w:rsidR="00AD7BA9" w:rsidRPr="00AD7BA9" w:rsidRDefault="00AD7BA9" w:rsidP="000C6DAD">
            <w:pPr>
              <w:pStyle w:val="TableContent"/>
              <w:jc w:val="center"/>
              <w:rPr>
                <w:lang w:eastAsia="zh-CN"/>
              </w:rPr>
            </w:pPr>
            <w:r w:rsidRPr="00AD7BA9">
              <w:rPr>
                <w:lang w:eastAsia="zh-CN"/>
              </w:rPr>
              <w:t>0.177</w:t>
            </w:r>
          </w:p>
        </w:tc>
        <w:tc>
          <w:tcPr>
            <w:tcW w:w="650" w:type="pct"/>
            <w:shd w:val="clear" w:color="auto" w:fill="auto"/>
            <w:vAlign w:val="center"/>
            <w:hideMark/>
          </w:tcPr>
          <w:p w14:paraId="228015F5" w14:textId="77777777" w:rsidR="00AD7BA9" w:rsidRPr="00AD7BA9" w:rsidRDefault="00AD7BA9" w:rsidP="000C6DAD">
            <w:pPr>
              <w:pStyle w:val="TableContent"/>
              <w:jc w:val="center"/>
              <w:rPr>
                <w:lang w:eastAsia="zh-CN"/>
              </w:rPr>
            </w:pPr>
            <w:r w:rsidRPr="00AD7BA9">
              <w:rPr>
                <w:lang w:eastAsia="zh-CN"/>
              </w:rPr>
              <w:t>0.004</w:t>
            </w:r>
          </w:p>
        </w:tc>
        <w:tc>
          <w:tcPr>
            <w:tcW w:w="650" w:type="pct"/>
            <w:shd w:val="clear" w:color="auto" w:fill="auto"/>
            <w:vAlign w:val="center"/>
            <w:hideMark/>
          </w:tcPr>
          <w:p w14:paraId="26D71C91" w14:textId="77777777" w:rsidR="00AD7BA9" w:rsidRPr="00AD7BA9" w:rsidRDefault="00AD7BA9" w:rsidP="000C6DAD">
            <w:pPr>
              <w:pStyle w:val="TableContent"/>
              <w:jc w:val="center"/>
              <w:rPr>
                <w:lang w:eastAsia="zh-CN"/>
              </w:rPr>
            </w:pPr>
            <w:r w:rsidRPr="00AD7BA9">
              <w:rPr>
                <w:lang w:eastAsia="zh-CN"/>
              </w:rPr>
              <w:t>0.002</w:t>
            </w:r>
          </w:p>
        </w:tc>
        <w:tc>
          <w:tcPr>
            <w:tcW w:w="650" w:type="pct"/>
            <w:shd w:val="clear" w:color="auto" w:fill="auto"/>
            <w:vAlign w:val="center"/>
            <w:hideMark/>
          </w:tcPr>
          <w:p w14:paraId="256FA1DF" w14:textId="77777777" w:rsidR="00AD7BA9" w:rsidRPr="00AD7BA9" w:rsidRDefault="00AD7BA9" w:rsidP="000C6DAD">
            <w:pPr>
              <w:pStyle w:val="TableContent"/>
              <w:jc w:val="center"/>
              <w:rPr>
                <w:lang w:eastAsia="zh-CN"/>
              </w:rPr>
            </w:pPr>
            <w:r w:rsidRPr="00AD7BA9">
              <w:rPr>
                <w:lang w:eastAsia="zh-CN"/>
              </w:rPr>
              <w:t>--</w:t>
            </w:r>
          </w:p>
        </w:tc>
        <w:tc>
          <w:tcPr>
            <w:tcW w:w="650" w:type="pct"/>
            <w:shd w:val="clear" w:color="auto" w:fill="auto"/>
            <w:vAlign w:val="center"/>
            <w:hideMark/>
          </w:tcPr>
          <w:p w14:paraId="46A1AE85" w14:textId="77777777" w:rsidR="00AD7BA9" w:rsidRPr="00AD7BA9" w:rsidRDefault="00AD7BA9" w:rsidP="000C6DAD">
            <w:pPr>
              <w:pStyle w:val="TableContent"/>
              <w:jc w:val="center"/>
              <w:rPr>
                <w:lang w:eastAsia="zh-CN"/>
              </w:rPr>
            </w:pPr>
            <w:r w:rsidRPr="00AD7BA9">
              <w:rPr>
                <w:lang w:eastAsia="zh-CN"/>
              </w:rPr>
              <w:t>--</w:t>
            </w:r>
          </w:p>
        </w:tc>
        <w:tc>
          <w:tcPr>
            <w:tcW w:w="650" w:type="pct"/>
            <w:shd w:val="clear" w:color="auto" w:fill="auto"/>
            <w:vAlign w:val="center"/>
            <w:hideMark/>
          </w:tcPr>
          <w:p w14:paraId="43B0FB3C" w14:textId="77777777" w:rsidR="00AD7BA9" w:rsidRPr="00AD7BA9" w:rsidRDefault="00AD7BA9" w:rsidP="000C6DAD">
            <w:pPr>
              <w:pStyle w:val="TableContent"/>
              <w:jc w:val="center"/>
              <w:rPr>
                <w:lang w:eastAsia="zh-CN"/>
              </w:rPr>
            </w:pPr>
            <w:r w:rsidRPr="00AD7BA9">
              <w:rPr>
                <w:lang w:eastAsia="zh-CN"/>
              </w:rPr>
              <w:t>--</w:t>
            </w:r>
          </w:p>
        </w:tc>
      </w:tr>
      <w:tr w:rsidR="008B26A4" w:rsidRPr="00AD7BA9" w14:paraId="3E884BDA" w14:textId="77777777" w:rsidTr="000C6DAD">
        <w:trPr>
          <w:tblCellSpacing w:w="15" w:type="dxa"/>
          <w:jc w:val="center"/>
        </w:trPr>
        <w:tc>
          <w:tcPr>
            <w:tcW w:w="650" w:type="pct"/>
            <w:shd w:val="clear" w:color="auto" w:fill="auto"/>
            <w:vAlign w:val="center"/>
            <w:hideMark/>
          </w:tcPr>
          <w:p w14:paraId="428D808B" w14:textId="77777777" w:rsidR="00AD7BA9" w:rsidRPr="00AD7BA9" w:rsidRDefault="00AD7BA9" w:rsidP="000C6DAD">
            <w:pPr>
              <w:pStyle w:val="TableContent"/>
              <w:jc w:val="center"/>
              <w:rPr>
                <w:lang w:eastAsia="zh-CN"/>
              </w:rPr>
            </w:pPr>
            <w:r w:rsidRPr="00AD7BA9">
              <w:rPr>
                <w:lang w:eastAsia="zh-CN"/>
              </w:rPr>
              <w:t>264-278</w:t>
            </w:r>
          </w:p>
        </w:tc>
        <w:tc>
          <w:tcPr>
            <w:tcW w:w="650" w:type="pct"/>
            <w:shd w:val="clear" w:color="auto" w:fill="auto"/>
            <w:vAlign w:val="center"/>
            <w:hideMark/>
          </w:tcPr>
          <w:p w14:paraId="49893AA0" w14:textId="77777777" w:rsidR="00AD7BA9" w:rsidRPr="00AD7BA9" w:rsidRDefault="00AD7BA9" w:rsidP="000C6DAD">
            <w:pPr>
              <w:pStyle w:val="TableContent"/>
              <w:jc w:val="center"/>
              <w:rPr>
                <w:lang w:eastAsia="zh-CN"/>
              </w:rPr>
            </w:pPr>
            <w:r w:rsidRPr="00AD7BA9">
              <w:rPr>
                <w:lang w:eastAsia="zh-CN"/>
              </w:rPr>
              <w:t>172</w:t>
            </w:r>
          </w:p>
        </w:tc>
        <w:tc>
          <w:tcPr>
            <w:tcW w:w="650" w:type="pct"/>
            <w:shd w:val="clear" w:color="auto" w:fill="auto"/>
            <w:vAlign w:val="center"/>
            <w:hideMark/>
          </w:tcPr>
          <w:p w14:paraId="309AD5B5" w14:textId="77777777" w:rsidR="00AD7BA9" w:rsidRPr="00AD7BA9" w:rsidRDefault="00AD7BA9" w:rsidP="000C6DAD">
            <w:pPr>
              <w:pStyle w:val="TableContent"/>
              <w:jc w:val="center"/>
              <w:rPr>
                <w:lang w:eastAsia="zh-CN"/>
              </w:rPr>
            </w:pPr>
            <w:r w:rsidRPr="00AD7BA9">
              <w:rPr>
                <w:lang w:eastAsia="zh-CN"/>
              </w:rPr>
              <w:t>0.173</w:t>
            </w:r>
          </w:p>
        </w:tc>
        <w:tc>
          <w:tcPr>
            <w:tcW w:w="650" w:type="pct"/>
            <w:shd w:val="clear" w:color="auto" w:fill="auto"/>
            <w:vAlign w:val="center"/>
            <w:hideMark/>
          </w:tcPr>
          <w:p w14:paraId="3F054277" w14:textId="77777777" w:rsidR="00AD7BA9" w:rsidRPr="00AD7BA9" w:rsidRDefault="00AD7BA9" w:rsidP="000C6DAD">
            <w:pPr>
              <w:pStyle w:val="TableContent"/>
              <w:jc w:val="center"/>
              <w:rPr>
                <w:lang w:eastAsia="zh-CN"/>
              </w:rPr>
            </w:pPr>
            <w:r w:rsidRPr="00AD7BA9">
              <w:rPr>
                <w:lang w:eastAsia="zh-CN"/>
              </w:rPr>
              <w:t>0.005</w:t>
            </w:r>
          </w:p>
        </w:tc>
        <w:tc>
          <w:tcPr>
            <w:tcW w:w="650" w:type="pct"/>
            <w:shd w:val="clear" w:color="auto" w:fill="auto"/>
            <w:vAlign w:val="center"/>
            <w:hideMark/>
          </w:tcPr>
          <w:p w14:paraId="47D3B489" w14:textId="77777777" w:rsidR="00AD7BA9" w:rsidRPr="00AD7BA9" w:rsidRDefault="00AD7BA9" w:rsidP="000C6DAD">
            <w:pPr>
              <w:pStyle w:val="TableContent"/>
              <w:jc w:val="center"/>
              <w:rPr>
                <w:lang w:eastAsia="zh-CN"/>
              </w:rPr>
            </w:pPr>
            <w:r w:rsidRPr="00AD7BA9">
              <w:rPr>
                <w:lang w:eastAsia="zh-CN"/>
              </w:rPr>
              <w:t>0.002</w:t>
            </w:r>
          </w:p>
        </w:tc>
        <w:tc>
          <w:tcPr>
            <w:tcW w:w="650" w:type="pct"/>
            <w:shd w:val="clear" w:color="auto" w:fill="auto"/>
            <w:vAlign w:val="center"/>
            <w:hideMark/>
          </w:tcPr>
          <w:p w14:paraId="1FC1B56D" w14:textId="77777777" w:rsidR="00AD7BA9" w:rsidRPr="00AD7BA9" w:rsidRDefault="00AD7BA9" w:rsidP="000C6DAD">
            <w:pPr>
              <w:pStyle w:val="TableContent"/>
              <w:jc w:val="center"/>
              <w:rPr>
                <w:lang w:eastAsia="zh-CN"/>
              </w:rPr>
            </w:pPr>
            <w:r w:rsidRPr="00AD7BA9">
              <w:rPr>
                <w:lang w:eastAsia="zh-CN"/>
              </w:rPr>
              <w:t>--</w:t>
            </w:r>
          </w:p>
        </w:tc>
        <w:tc>
          <w:tcPr>
            <w:tcW w:w="650" w:type="pct"/>
            <w:shd w:val="clear" w:color="auto" w:fill="auto"/>
            <w:vAlign w:val="center"/>
            <w:hideMark/>
          </w:tcPr>
          <w:p w14:paraId="6559DF47" w14:textId="77777777" w:rsidR="00AD7BA9" w:rsidRPr="00AD7BA9" w:rsidRDefault="00AD7BA9" w:rsidP="000C6DAD">
            <w:pPr>
              <w:pStyle w:val="TableContent"/>
              <w:jc w:val="center"/>
              <w:rPr>
                <w:lang w:eastAsia="zh-CN"/>
              </w:rPr>
            </w:pPr>
            <w:r w:rsidRPr="00AD7BA9">
              <w:rPr>
                <w:lang w:eastAsia="zh-CN"/>
              </w:rPr>
              <w:t>--</w:t>
            </w:r>
          </w:p>
        </w:tc>
        <w:tc>
          <w:tcPr>
            <w:tcW w:w="650" w:type="pct"/>
            <w:shd w:val="clear" w:color="auto" w:fill="auto"/>
            <w:vAlign w:val="center"/>
            <w:hideMark/>
          </w:tcPr>
          <w:p w14:paraId="43D787FA" w14:textId="77777777" w:rsidR="00AD7BA9" w:rsidRPr="00AD7BA9" w:rsidRDefault="00AD7BA9" w:rsidP="000C6DAD">
            <w:pPr>
              <w:pStyle w:val="TableContent"/>
              <w:jc w:val="center"/>
              <w:rPr>
                <w:lang w:eastAsia="zh-CN"/>
              </w:rPr>
            </w:pPr>
            <w:r w:rsidRPr="00AD7BA9">
              <w:rPr>
                <w:lang w:eastAsia="zh-CN"/>
              </w:rPr>
              <w:t>--</w:t>
            </w:r>
          </w:p>
        </w:tc>
      </w:tr>
      <w:tr w:rsidR="008B26A4" w:rsidRPr="00AD7BA9" w14:paraId="4B85B9AA" w14:textId="77777777" w:rsidTr="000C6DAD">
        <w:trPr>
          <w:tblCellSpacing w:w="15" w:type="dxa"/>
          <w:jc w:val="center"/>
        </w:trPr>
        <w:tc>
          <w:tcPr>
            <w:tcW w:w="650" w:type="pct"/>
            <w:shd w:val="clear" w:color="auto" w:fill="auto"/>
            <w:vAlign w:val="center"/>
            <w:hideMark/>
          </w:tcPr>
          <w:p w14:paraId="0DD2AF5C" w14:textId="77777777" w:rsidR="00AD7BA9" w:rsidRPr="00AD7BA9" w:rsidRDefault="00AD7BA9" w:rsidP="000C6DAD">
            <w:pPr>
              <w:pStyle w:val="TableContent"/>
              <w:jc w:val="center"/>
              <w:rPr>
                <w:lang w:eastAsia="zh-CN"/>
              </w:rPr>
            </w:pPr>
            <w:r w:rsidRPr="00AD7BA9">
              <w:rPr>
                <w:lang w:eastAsia="zh-CN"/>
              </w:rPr>
              <w:t>278-292</w:t>
            </w:r>
          </w:p>
        </w:tc>
        <w:tc>
          <w:tcPr>
            <w:tcW w:w="650" w:type="pct"/>
            <w:shd w:val="clear" w:color="auto" w:fill="auto"/>
            <w:vAlign w:val="center"/>
            <w:hideMark/>
          </w:tcPr>
          <w:p w14:paraId="669E02A2" w14:textId="77777777" w:rsidR="00AD7BA9" w:rsidRPr="00AD7BA9" w:rsidRDefault="00AD7BA9" w:rsidP="000C6DAD">
            <w:pPr>
              <w:pStyle w:val="TableContent"/>
              <w:jc w:val="center"/>
              <w:rPr>
                <w:lang w:eastAsia="zh-CN"/>
              </w:rPr>
            </w:pPr>
            <w:r w:rsidRPr="00AD7BA9">
              <w:rPr>
                <w:lang w:eastAsia="zh-CN"/>
              </w:rPr>
              <w:t>167</w:t>
            </w:r>
          </w:p>
        </w:tc>
        <w:tc>
          <w:tcPr>
            <w:tcW w:w="650" w:type="pct"/>
            <w:shd w:val="clear" w:color="auto" w:fill="auto"/>
            <w:vAlign w:val="center"/>
            <w:hideMark/>
          </w:tcPr>
          <w:p w14:paraId="56D7F31E" w14:textId="77777777" w:rsidR="00AD7BA9" w:rsidRPr="00AD7BA9" w:rsidRDefault="00AD7BA9" w:rsidP="000C6DAD">
            <w:pPr>
              <w:pStyle w:val="TableContent"/>
              <w:jc w:val="center"/>
              <w:rPr>
                <w:lang w:eastAsia="zh-CN"/>
              </w:rPr>
            </w:pPr>
            <w:r w:rsidRPr="00AD7BA9">
              <w:rPr>
                <w:lang w:eastAsia="zh-CN"/>
              </w:rPr>
              <w:t>0.168</w:t>
            </w:r>
          </w:p>
        </w:tc>
        <w:tc>
          <w:tcPr>
            <w:tcW w:w="650" w:type="pct"/>
            <w:shd w:val="clear" w:color="auto" w:fill="auto"/>
            <w:vAlign w:val="center"/>
            <w:hideMark/>
          </w:tcPr>
          <w:p w14:paraId="35969FD0" w14:textId="77777777" w:rsidR="00AD7BA9" w:rsidRPr="00AD7BA9" w:rsidRDefault="00AD7BA9" w:rsidP="000C6DAD">
            <w:pPr>
              <w:pStyle w:val="TableContent"/>
              <w:jc w:val="center"/>
              <w:rPr>
                <w:lang w:eastAsia="zh-CN"/>
              </w:rPr>
            </w:pPr>
            <w:r w:rsidRPr="00AD7BA9">
              <w:rPr>
                <w:lang w:eastAsia="zh-CN"/>
              </w:rPr>
              <w:t>0.008</w:t>
            </w:r>
          </w:p>
        </w:tc>
        <w:tc>
          <w:tcPr>
            <w:tcW w:w="650" w:type="pct"/>
            <w:shd w:val="clear" w:color="auto" w:fill="auto"/>
            <w:vAlign w:val="center"/>
            <w:hideMark/>
          </w:tcPr>
          <w:p w14:paraId="6E7DC733" w14:textId="77777777" w:rsidR="00AD7BA9" w:rsidRPr="00AD7BA9" w:rsidRDefault="00AD7BA9" w:rsidP="000C6DAD">
            <w:pPr>
              <w:pStyle w:val="TableContent"/>
              <w:jc w:val="center"/>
              <w:rPr>
                <w:lang w:eastAsia="zh-CN"/>
              </w:rPr>
            </w:pPr>
            <w:r w:rsidRPr="00AD7BA9">
              <w:rPr>
                <w:lang w:eastAsia="zh-CN"/>
              </w:rPr>
              <w:t>0.004</w:t>
            </w:r>
          </w:p>
        </w:tc>
        <w:tc>
          <w:tcPr>
            <w:tcW w:w="650" w:type="pct"/>
            <w:shd w:val="clear" w:color="auto" w:fill="auto"/>
            <w:vAlign w:val="center"/>
            <w:hideMark/>
          </w:tcPr>
          <w:p w14:paraId="6A4FEB28" w14:textId="77777777" w:rsidR="00AD7BA9" w:rsidRPr="00AD7BA9" w:rsidRDefault="00AD7BA9" w:rsidP="000C6DAD">
            <w:pPr>
              <w:pStyle w:val="TableContent"/>
              <w:jc w:val="center"/>
              <w:rPr>
                <w:lang w:eastAsia="zh-CN"/>
              </w:rPr>
            </w:pPr>
            <w:r w:rsidRPr="00AD7BA9">
              <w:rPr>
                <w:lang w:eastAsia="zh-CN"/>
              </w:rPr>
              <w:t>--</w:t>
            </w:r>
          </w:p>
        </w:tc>
        <w:tc>
          <w:tcPr>
            <w:tcW w:w="650" w:type="pct"/>
            <w:shd w:val="clear" w:color="auto" w:fill="auto"/>
            <w:vAlign w:val="center"/>
            <w:hideMark/>
          </w:tcPr>
          <w:p w14:paraId="16FD52A6" w14:textId="77777777" w:rsidR="00AD7BA9" w:rsidRPr="00AD7BA9" w:rsidRDefault="00AD7BA9" w:rsidP="000C6DAD">
            <w:pPr>
              <w:pStyle w:val="TableContent"/>
              <w:jc w:val="center"/>
              <w:rPr>
                <w:lang w:eastAsia="zh-CN"/>
              </w:rPr>
            </w:pPr>
            <w:r w:rsidRPr="00AD7BA9">
              <w:rPr>
                <w:lang w:eastAsia="zh-CN"/>
              </w:rPr>
              <w:t>--</w:t>
            </w:r>
          </w:p>
        </w:tc>
        <w:tc>
          <w:tcPr>
            <w:tcW w:w="650" w:type="pct"/>
            <w:shd w:val="clear" w:color="auto" w:fill="auto"/>
            <w:vAlign w:val="center"/>
            <w:hideMark/>
          </w:tcPr>
          <w:p w14:paraId="0F585A1D" w14:textId="77777777" w:rsidR="00AD7BA9" w:rsidRPr="00AD7BA9" w:rsidRDefault="00AD7BA9" w:rsidP="000C6DAD">
            <w:pPr>
              <w:pStyle w:val="TableContent"/>
              <w:jc w:val="center"/>
              <w:rPr>
                <w:lang w:eastAsia="zh-CN"/>
              </w:rPr>
            </w:pPr>
            <w:r w:rsidRPr="00AD7BA9">
              <w:rPr>
                <w:lang w:eastAsia="zh-CN"/>
              </w:rPr>
              <w:t>--</w:t>
            </w:r>
          </w:p>
        </w:tc>
      </w:tr>
      <w:tr w:rsidR="008B26A4" w:rsidRPr="00AD7BA9" w14:paraId="308D3CA7" w14:textId="77777777" w:rsidTr="000C6DAD">
        <w:trPr>
          <w:tblCellSpacing w:w="15" w:type="dxa"/>
          <w:jc w:val="center"/>
        </w:trPr>
        <w:tc>
          <w:tcPr>
            <w:tcW w:w="650" w:type="pct"/>
            <w:shd w:val="clear" w:color="auto" w:fill="auto"/>
            <w:vAlign w:val="center"/>
            <w:hideMark/>
          </w:tcPr>
          <w:p w14:paraId="64309243" w14:textId="77777777" w:rsidR="00AD7BA9" w:rsidRPr="00AD7BA9" w:rsidRDefault="00AD7BA9" w:rsidP="000C6DAD">
            <w:pPr>
              <w:pStyle w:val="TableContent"/>
              <w:jc w:val="center"/>
              <w:rPr>
                <w:lang w:eastAsia="zh-CN"/>
              </w:rPr>
            </w:pPr>
            <w:r w:rsidRPr="00AD7BA9">
              <w:rPr>
                <w:lang w:eastAsia="zh-CN"/>
              </w:rPr>
              <w:t>292-306</w:t>
            </w:r>
          </w:p>
        </w:tc>
        <w:tc>
          <w:tcPr>
            <w:tcW w:w="650" w:type="pct"/>
            <w:shd w:val="clear" w:color="auto" w:fill="auto"/>
            <w:vAlign w:val="center"/>
            <w:hideMark/>
          </w:tcPr>
          <w:p w14:paraId="3667F692" w14:textId="77777777" w:rsidR="00AD7BA9" w:rsidRPr="00AD7BA9" w:rsidRDefault="00AD7BA9" w:rsidP="000C6DAD">
            <w:pPr>
              <w:pStyle w:val="TableContent"/>
              <w:jc w:val="center"/>
              <w:rPr>
                <w:lang w:eastAsia="zh-CN"/>
              </w:rPr>
            </w:pPr>
            <w:r w:rsidRPr="00AD7BA9">
              <w:rPr>
                <w:lang w:eastAsia="zh-CN"/>
              </w:rPr>
              <w:t>159</w:t>
            </w:r>
          </w:p>
        </w:tc>
        <w:tc>
          <w:tcPr>
            <w:tcW w:w="650" w:type="pct"/>
            <w:shd w:val="clear" w:color="auto" w:fill="auto"/>
            <w:vAlign w:val="center"/>
            <w:hideMark/>
          </w:tcPr>
          <w:p w14:paraId="4D6B1DE6" w14:textId="77777777" w:rsidR="00AD7BA9" w:rsidRPr="00AD7BA9" w:rsidRDefault="00AD7BA9" w:rsidP="000C6DAD">
            <w:pPr>
              <w:pStyle w:val="TableContent"/>
              <w:jc w:val="center"/>
              <w:rPr>
                <w:lang w:eastAsia="zh-CN"/>
              </w:rPr>
            </w:pPr>
            <w:r w:rsidRPr="00AD7BA9">
              <w:rPr>
                <w:lang w:eastAsia="zh-CN"/>
              </w:rPr>
              <w:t>0.160</w:t>
            </w:r>
          </w:p>
        </w:tc>
        <w:tc>
          <w:tcPr>
            <w:tcW w:w="650" w:type="pct"/>
            <w:shd w:val="clear" w:color="auto" w:fill="auto"/>
            <w:vAlign w:val="center"/>
            <w:hideMark/>
          </w:tcPr>
          <w:p w14:paraId="2166D8BF" w14:textId="77777777" w:rsidR="00AD7BA9" w:rsidRPr="00AD7BA9" w:rsidRDefault="00AD7BA9" w:rsidP="000C6DAD">
            <w:pPr>
              <w:pStyle w:val="TableContent"/>
              <w:jc w:val="center"/>
              <w:rPr>
                <w:lang w:eastAsia="zh-CN"/>
              </w:rPr>
            </w:pPr>
            <w:r w:rsidRPr="00AD7BA9">
              <w:rPr>
                <w:lang w:eastAsia="zh-CN"/>
              </w:rPr>
              <w:t>0.005</w:t>
            </w:r>
          </w:p>
        </w:tc>
        <w:tc>
          <w:tcPr>
            <w:tcW w:w="650" w:type="pct"/>
            <w:shd w:val="clear" w:color="auto" w:fill="auto"/>
            <w:vAlign w:val="center"/>
            <w:hideMark/>
          </w:tcPr>
          <w:p w14:paraId="0195E936" w14:textId="77777777" w:rsidR="00AD7BA9" w:rsidRPr="00AD7BA9" w:rsidRDefault="00AD7BA9" w:rsidP="000C6DAD">
            <w:pPr>
              <w:pStyle w:val="TableContent"/>
              <w:jc w:val="center"/>
              <w:rPr>
                <w:lang w:eastAsia="zh-CN"/>
              </w:rPr>
            </w:pPr>
            <w:r w:rsidRPr="00AD7BA9">
              <w:rPr>
                <w:lang w:eastAsia="zh-CN"/>
              </w:rPr>
              <w:t>0.002</w:t>
            </w:r>
          </w:p>
        </w:tc>
        <w:tc>
          <w:tcPr>
            <w:tcW w:w="650" w:type="pct"/>
            <w:shd w:val="clear" w:color="auto" w:fill="auto"/>
            <w:vAlign w:val="center"/>
            <w:hideMark/>
          </w:tcPr>
          <w:p w14:paraId="6F207D94" w14:textId="77777777" w:rsidR="00AD7BA9" w:rsidRPr="00AD7BA9" w:rsidRDefault="00AD7BA9" w:rsidP="000C6DAD">
            <w:pPr>
              <w:pStyle w:val="TableContent"/>
              <w:jc w:val="center"/>
              <w:rPr>
                <w:lang w:eastAsia="zh-CN"/>
              </w:rPr>
            </w:pPr>
            <w:r w:rsidRPr="00AD7BA9">
              <w:rPr>
                <w:lang w:eastAsia="zh-CN"/>
              </w:rPr>
              <w:t>53.0</w:t>
            </w:r>
          </w:p>
        </w:tc>
        <w:tc>
          <w:tcPr>
            <w:tcW w:w="650" w:type="pct"/>
            <w:shd w:val="clear" w:color="auto" w:fill="auto"/>
            <w:vAlign w:val="center"/>
            <w:hideMark/>
          </w:tcPr>
          <w:p w14:paraId="4C7E831D" w14:textId="77777777" w:rsidR="00AD7BA9" w:rsidRPr="00AD7BA9" w:rsidRDefault="00AD7BA9" w:rsidP="000C6DAD">
            <w:pPr>
              <w:pStyle w:val="TableContent"/>
              <w:jc w:val="center"/>
              <w:rPr>
                <w:lang w:eastAsia="zh-CN"/>
              </w:rPr>
            </w:pPr>
            <w:r w:rsidRPr="00AD7BA9">
              <w:rPr>
                <w:lang w:eastAsia="zh-CN"/>
              </w:rPr>
              <w:t>0.33</w:t>
            </w:r>
          </w:p>
        </w:tc>
        <w:tc>
          <w:tcPr>
            <w:tcW w:w="650" w:type="pct"/>
            <w:shd w:val="clear" w:color="auto" w:fill="auto"/>
            <w:vAlign w:val="center"/>
            <w:hideMark/>
          </w:tcPr>
          <w:p w14:paraId="2C78C794" w14:textId="77777777" w:rsidR="00AD7BA9" w:rsidRPr="00AD7BA9" w:rsidRDefault="00AD7BA9" w:rsidP="000C6DAD">
            <w:pPr>
              <w:pStyle w:val="TableContent"/>
              <w:jc w:val="center"/>
              <w:rPr>
                <w:lang w:eastAsia="zh-CN"/>
              </w:rPr>
            </w:pPr>
            <w:r w:rsidRPr="00AD7BA9">
              <w:rPr>
                <w:lang w:eastAsia="zh-CN"/>
              </w:rPr>
              <w:t>0.05</w:t>
            </w:r>
          </w:p>
        </w:tc>
      </w:tr>
      <w:tr w:rsidR="008B26A4" w:rsidRPr="00AD7BA9" w14:paraId="4583AB10" w14:textId="77777777" w:rsidTr="000C6DAD">
        <w:trPr>
          <w:tblCellSpacing w:w="15" w:type="dxa"/>
          <w:jc w:val="center"/>
        </w:trPr>
        <w:tc>
          <w:tcPr>
            <w:tcW w:w="650" w:type="pct"/>
            <w:shd w:val="clear" w:color="auto" w:fill="auto"/>
            <w:vAlign w:val="center"/>
            <w:hideMark/>
          </w:tcPr>
          <w:p w14:paraId="355C9BE0" w14:textId="77777777" w:rsidR="00AD7BA9" w:rsidRPr="00AD7BA9" w:rsidRDefault="00AD7BA9" w:rsidP="000C6DAD">
            <w:pPr>
              <w:pStyle w:val="TableContent"/>
              <w:jc w:val="center"/>
              <w:rPr>
                <w:lang w:eastAsia="zh-CN"/>
              </w:rPr>
            </w:pPr>
            <w:r w:rsidRPr="00AD7BA9">
              <w:rPr>
                <w:lang w:eastAsia="zh-CN"/>
              </w:rPr>
              <w:t>306-320</w:t>
            </w:r>
          </w:p>
        </w:tc>
        <w:tc>
          <w:tcPr>
            <w:tcW w:w="650" w:type="pct"/>
            <w:shd w:val="clear" w:color="auto" w:fill="auto"/>
            <w:vAlign w:val="center"/>
            <w:hideMark/>
          </w:tcPr>
          <w:p w14:paraId="3CD4A59C" w14:textId="77777777" w:rsidR="00AD7BA9" w:rsidRPr="00AD7BA9" w:rsidRDefault="00AD7BA9" w:rsidP="000C6DAD">
            <w:pPr>
              <w:pStyle w:val="TableContent"/>
              <w:jc w:val="center"/>
              <w:rPr>
                <w:lang w:eastAsia="zh-CN"/>
              </w:rPr>
            </w:pPr>
            <w:r w:rsidRPr="00AD7BA9">
              <w:rPr>
                <w:lang w:eastAsia="zh-CN"/>
              </w:rPr>
              <w:t>154</w:t>
            </w:r>
          </w:p>
        </w:tc>
        <w:tc>
          <w:tcPr>
            <w:tcW w:w="650" w:type="pct"/>
            <w:shd w:val="clear" w:color="auto" w:fill="auto"/>
            <w:vAlign w:val="center"/>
            <w:hideMark/>
          </w:tcPr>
          <w:p w14:paraId="44E22538" w14:textId="77777777" w:rsidR="00AD7BA9" w:rsidRPr="00AD7BA9" w:rsidRDefault="00AD7BA9" w:rsidP="000C6DAD">
            <w:pPr>
              <w:pStyle w:val="TableContent"/>
              <w:jc w:val="center"/>
              <w:rPr>
                <w:lang w:eastAsia="zh-CN"/>
              </w:rPr>
            </w:pPr>
            <w:r w:rsidRPr="00AD7BA9">
              <w:rPr>
                <w:lang w:eastAsia="zh-CN"/>
              </w:rPr>
              <w:t>0.155</w:t>
            </w:r>
          </w:p>
        </w:tc>
        <w:tc>
          <w:tcPr>
            <w:tcW w:w="650" w:type="pct"/>
            <w:shd w:val="clear" w:color="auto" w:fill="auto"/>
            <w:vAlign w:val="center"/>
            <w:hideMark/>
          </w:tcPr>
          <w:p w14:paraId="32BA9D20" w14:textId="77777777" w:rsidR="00AD7BA9" w:rsidRPr="00AD7BA9" w:rsidRDefault="00AD7BA9" w:rsidP="000C6DAD">
            <w:pPr>
              <w:pStyle w:val="TableContent"/>
              <w:jc w:val="center"/>
              <w:rPr>
                <w:lang w:eastAsia="zh-CN"/>
              </w:rPr>
            </w:pPr>
            <w:r w:rsidRPr="00AD7BA9">
              <w:rPr>
                <w:lang w:eastAsia="zh-CN"/>
              </w:rPr>
              <w:t>0.007</w:t>
            </w:r>
          </w:p>
        </w:tc>
        <w:tc>
          <w:tcPr>
            <w:tcW w:w="650" w:type="pct"/>
            <w:shd w:val="clear" w:color="auto" w:fill="auto"/>
            <w:vAlign w:val="center"/>
            <w:hideMark/>
          </w:tcPr>
          <w:p w14:paraId="3C2AAEEA" w14:textId="77777777" w:rsidR="00AD7BA9" w:rsidRPr="00AD7BA9" w:rsidRDefault="00AD7BA9" w:rsidP="000C6DAD">
            <w:pPr>
              <w:pStyle w:val="TableContent"/>
              <w:jc w:val="center"/>
              <w:rPr>
                <w:lang w:eastAsia="zh-CN"/>
              </w:rPr>
            </w:pPr>
            <w:r w:rsidRPr="00AD7BA9">
              <w:rPr>
                <w:lang w:eastAsia="zh-CN"/>
              </w:rPr>
              <w:t>0.003</w:t>
            </w:r>
          </w:p>
        </w:tc>
        <w:tc>
          <w:tcPr>
            <w:tcW w:w="650" w:type="pct"/>
            <w:shd w:val="clear" w:color="auto" w:fill="auto"/>
            <w:vAlign w:val="center"/>
            <w:hideMark/>
          </w:tcPr>
          <w:p w14:paraId="4C851C20" w14:textId="77777777" w:rsidR="00AD7BA9" w:rsidRPr="00AD7BA9" w:rsidRDefault="00AD7BA9" w:rsidP="000C6DAD">
            <w:pPr>
              <w:pStyle w:val="TableContent"/>
              <w:jc w:val="center"/>
              <w:rPr>
                <w:lang w:eastAsia="zh-CN"/>
              </w:rPr>
            </w:pPr>
            <w:r w:rsidRPr="00AD7BA9">
              <w:rPr>
                <w:lang w:eastAsia="zh-CN"/>
              </w:rPr>
              <w:t>485.0</w:t>
            </w:r>
          </w:p>
        </w:tc>
        <w:tc>
          <w:tcPr>
            <w:tcW w:w="650" w:type="pct"/>
            <w:shd w:val="clear" w:color="auto" w:fill="auto"/>
            <w:vAlign w:val="center"/>
            <w:hideMark/>
          </w:tcPr>
          <w:p w14:paraId="2994DEA7" w14:textId="77777777" w:rsidR="00AD7BA9" w:rsidRPr="00AD7BA9" w:rsidRDefault="00AD7BA9" w:rsidP="000C6DAD">
            <w:pPr>
              <w:pStyle w:val="TableContent"/>
              <w:jc w:val="center"/>
              <w:rPr>
                <w:lang w:eastAsia="zh-CN"/>
              </w:rPr>
            </w:pPr>
            <w:r w:rsidRPr="00AD7BA9">
              <w:rPr>
                <w:lang w:eastAsia="zh-CN"/>
              </w:rPr>
              <w:t>3.13</w:t>
            </w:r>
          </w:p>
        </w:tc>
        <w:tc>
          <w:tcPr>
            <w:tcW w:w="650" w:type="pct"/>
            <w:shd w:val="clear" w:color="auto" w:fill="auto"/>
            <w:vAlign w:val="center"/>
            <w:hideMark/>
          </w:tcPr>
          <w:p w14:paraId="4F2E7D24" w14:textId="77777777" w:rsidR="00AD7BA9" w:rsidRPr="00AD7BA9" w:rsidRDefault="00AD7BA9" w:rsidP="000C6DAD">
            <w:pPr>
              <w:pStyle w:val="TableContent"/>
              <w:jc w:val="center"/>
              <w:rPr>
                <w:lang w:eastAsia="zh-CN"/>
              </w:rPr>
            </w:pPr>
            <w:r w:rsidRPr="00AD7BA9">
              <w:rPr>
                <w:lang w:eastAsia="zh-CN"/>
              </w:rPr>
              <w:t>0.49</w:t>
            </w:r>
          </w:p>
        </w:tc>
      </w:tr>
      <w:tr w:rsidR="008B26A4" w:rsidRPr="00AD7BA9" w14:paraId="1C0794A4" w14:textId="77777777" w:rsidTr="000C6DAD">
        <w:trPr>
          <w:tblCellSpacing w:w="15" w:type="dxa"/>
          <w:jc w:val="center"/>
        </w:trPr>
        <w:tc>
          <w:tcPr>
            <w:tcW w:w="650" w:type="pct"/>
            <w:shd w:val="clear" w:color="auto" w:fill="auto"/>
            <w:vAlign w:val="center"/>
            <w:hideMark/>
          </w:tcPr>
          <w:p w14:paraId="67466E9C" w14:textId="77777777" w:rsidR="00AD7BA9" w:rsidRPr="00AD7BA9" w:rsidRDefault="00AD7BA9" w:rsidP="000C6DAD">
            <w:pPr>
              <w:pStyle w:val="TableContent"/>
              <w:jc w:val="center"/>
              <w:rPr>
                <w:lang w:eastAsia="zh-CN"/>
              </w:rPr>
            </w:pPr>
            <w:r w:rsidRPr="00AD7BA9">
              <w:rPr>
                <w:lang w:eastAsia="zh-CN"/>
              </w:rPr>
              <w:t>320-334</w:t>
            </w:r>
          </w:p>
        </w:tc>
        <w:tc>
          <w:tcPr>
            <w:tcW w:w="650" w:type="pct"/>
            <w:shd w:val="clear" w:color="auto" w:fill="auto"/>
            <w:vAlign w:val="center"/>
            <w:hideMark/>
          </w:tcPr>
          <w:p w14:paraId="140E42CC" w14:textId="77777777" w:rsidR="00AD7BA9" w:rsidRPr="00AD7BA9" w:rsidRDefault="00AD7BA9" w:rsidP="000C6DAD">
            <w:pPr>
              <w:pStyle w:val="TableContent"/>
              <w:jc w:val="center"/>
              <w:rPr>
                <w:lang w:eastAsia="zh-CN"/>
              </w:rPr>
            </w:pPr>
            <w:r w:rsidRPr="00AD7BA9">
              <w:rPr>
                <w:lang w:eastAsia="zh-CN"/>
              </w:rPr>
              <w:t>147</w:t>
            </w:r>
          </w:p>
        </w:tc>
        <w:tc>
          <w:tcPr>
            <w:tcW w:w="650" w:type="pct"/>
            <w:shd w:val="clear" w:color="auto" w:fill="auto"/>
            <w:vAlign w:val="center"/>
            <w:hideMark/>
          </w:tcPr>
          <w:p w14:paraId="022543B6" w14:textId="77777777" w:rsidR="00AD7BA9" w:rsidRPr="00AD7BA9" w:rsidRDefault="00AD7BA9" w:rsidP="000C6DAD">
            <w:pPr>
              <w:pStyle w:val="TableContent"/>
              <w:jc w:val="center"/>
              <w:rPr>
                <w:lang w:eastAsia="zh-CN"/>
              </w:rPr>
            </w:pPr>
            <w:r w:rsidRPr="00AD7BA9">
              <w:rPr>
                <w:lang w:eastAsia="zh-CN"/>
              </w:rPr>
              <w:t>0.148</w:t>
            </w:r>
          </w:p>
        </w:tc>
        <w:tc>
          <w:tcPr>
            <w:tcW w:w="650" w:type="pct"/>
            <w:shd w:val="clear" w:color="auto" w:fill="auto"/>
            <w:vAlign w:val="center"/>
            <w:hideMark/>
          </w:tcPr>
          <w:p w14:paraId="6AA3480C" w14:textId="77777777" w:rsidR="00AD7BA9" w:rsidRPr="00AD7BA9" w:rsidRDefault="00AD7BA9" w:rsidP="000C6DAD">
            <w:pPr>
              <w:pStyle w:val="TableContent"/>
              <w:jc w:val="center"/>
              <w:rPr>
                <w:lang w:eastAsia="zh-CN"/>
              </w:rPr>
            </w:pPr>
            <w:r w:rsidRPr="00AD7BA9">
              <w:rPr>
                <w:lang w:eastAsia="zh-CN"/>
              </w:rPr>
              <w:t>0.043</w:t>
            </w:r>
          </w:p>
        </w:tc>
        <w:tc>
          <w:tcPr>
            <w:tcW w:w="650" w:type="pct"/>
            <w:shd w:val="clear" w:color="auto" w:fill="auto"/>
            <w:vAlign w:val="center"/>
            <w:hideMark/>
          </w:tcPr>
          <w:p w14:paraId="150FF7A4" w14:textId="77777777" w:rsidR="00AD7BA9" w:rsidRPr="00AD7BA9" w:rsidRDefault="00AD7BA9" w:rsidP="000C6DAD">
            <w:pPr>
              <w:pStyle w:val="TableContent"/>
              <w:jc w:val="center"/>
              <w:rPr>
                <w:lang w:eastAsia="zh-CN"/>
              </w:rPr>
            </w:pPr>
            <w:r w:rsidRPr="00AD7BA9">
              <w:rPr>
                <w:lang w:eastAsia="zh-CN"/>
              </w:rPr>
              <w:t>0.025</w:t>
            </w:r>
          </w:p>
        </w:tc>
        <w:tc>
          <w:tcPr>
            <w:tcW w:w="650" w:type="pct"/>
            <w:shd w:val="clear" w:color="auto" w:fill="auto"/>
            <w:vAlign w:val="center"/>
            <w:hideMark/>
          </w:tcPr>
          <w:p w14:paraId="209BFBB0" w14:textId="77777777" w:rsidR="00AD7BA9" w:rsidRPr="00AD7BA9" w:rsidRDefault="00AD7BA9" w:rsidP="000C6DAD">
            <w:pPr>
              <w:pStyle w:val="TableContent"/>
              <w:jc w:val="center"/>
              <w:rPr>
                <w:lang w:eastAsia="zh-CN"/>
              </w:rPr>
            </w:pPr>
            <w:r w:rsidRPr="00AD7BA9">
              <w:rPr>
                <w:lang w:eastAsia="zh-CN"/>
              </w:rPr>
              <w:t>802.7</w:t>
            </w:r>
          </w:p>
        </w:tc>
        <w:tc>
          <w:tcPr>
            <w:tcW w:w="650" w:type="pct"/>
            <w:shd w:val="clear" w:color="auto" w:fill="auto"/>
            <w:vAlign w:val="center"/>
            <w:hideMark/>
          </w:tcPr>
          <w:p w14:paraId="1B134FC1" w14:textId="77777777" w:rsidR="00AD7BA9" w:rsidRPr="00AD7BA9" w:rsidRDefault="00AD7BA9" w:rsidP="000C6DAD">
            <w:pPr>
              <w:pStyle w:val="TableContent"/>
              <w:jc w:val="center"/>
              <w:rPr>
                <w:lang w:eastAsia="zh-CN"/>
              </w:rPr>
            </w:pPr>
            <w:r w:rsidRPr="00AD7BA9">
              <w:rPr>
                <w:lang w:eastAsia="zh-CN"/>
              </w:rPr>
              <w:t>5.42</w:t>
            </w:r>
          </w:p>
        </w:tc>
        <w:tc>
          <w:tcPr>
            <w:tcW w:w="650" w:type="pct"/>
            <w:shd w:val="clear" w:color="auto" w:fill="auto"/>
            <w:vAlign w:val="center"/>
            <w:hideMark/>
          </w:tcPr>
          <w:p w14:paraId="4EE75729" w14:textId="77777777" w:rsidR="00AD7BA9" w:rsidRPr="00AD7BA9" w:rsidRDefault="00AD7BA9" w:rsidP="000C6DAD">
            <w:pPr>
              <w:pStyle w:val="TableContent"/>
              <w:jc w:val="center"/>
              <w:rPr>
                <w:lang w:eastAsia="zh-CN"/>
              </w:rPr>
            </w:pPr>
            <w:r w:rsidRPr="00AD7BA9">
              <w:rPr>
                <w:lang w:eastAsia="zh-CN"/>
              </w:rPr>
              <w:t>0.80</w:t>
            </w:r>
          </w:p>
        </w:tc>
      </w:tr>
      <w:tr w:rsidR="008B26A4" w:rsidRPr="00AD7BA9" w14:paraId="256E8C84" w14:textId="77777777" w:rsidTr="000C6DAD">
        <w:trPr>
          <w:tblCellSpacing w:w="15" w:type="dxa"/>
          <w:jc w:val="center"/>
        </w:trPr>
        <w:tc>
          <w:tcPr>
            <w:tcW w:w="650" w:type="pct"/>
            <w:shd w:val="clear" w:color="auto" w:fill="auto"/>
            <w:vAlign w:val="center"/>
            <w:hideMark/>
          </w:tcPr>
          <w:p w14:paraId="69DE1BC3" w14:textId="77777777" w:rsidR="00AD7BA9" w:rsidRPr="00AD7BA9" w:rsidRDefault="00AD7BA9" w:rsidP="000C6DAD">
            <w:pPr>
              <w:pStyle w:val="TableContent"/>
              <w:jc w:val="center"/>
              <w:rPr>
                <w:lang w:eastAsia="zh-CN"/>
              </w:rPr>
            </w:pPr>
            <w:r w:rsidRPr="00AD7BA9">
              <w:rPr>
                <w:lang w:eastAsia="zh-CN"/>
              </w:rPr>
              <w:t>334-348</w:t>
            </w:r>
          </w:p>
        </w:tc>
        <w:tc>
          <w:tcPr>
            <w:tcW w:w="650" w:type="pct"/>
            <w:shd w:val="clear" w:color="auto" w:fill="auto"/>
            <w:vAlign w:val="center"/>
            <w:hideMark/>
          </w:tcPr>
          <w:p w14:paraId="08DBECEC" w14:textId="77777777" w:rsidR="00AD7BA9" w:rsidRPr="00AD7BA9" w:rsidRDefault="00AD7BA9" w:rsidP="000C6DAD">
            <w:pPr>
              <w:pStyle w:val="TableContent"/>
              <w:jc w:val="center"/>
              <w:rPr>
                <w:lang w:eastAsia="zh-CN"/>
              </w:rPr>
            </w:pPr>
            <w:r w:rsidRPr="00AD7BA9">
              <w:rPr>
                <w:lang w:eastAsia="zh-CN"/>
              </w:rPr>
              <w:t>105</w:t>
            </w:r>
          </w:p>
        </w:tc>
        <w:tc>
          <w:tcPr>
            <w:tcW w:w="650" w:type="pct"/>
            <w:shd w:val="clear" w:color="auto" w:fill="auto"/>
            <w:vAlign w:val="center"/>
            <w:hideMark/>
          </w:tcPr>
          <w:p w14:paraId="781CCE7B" w14:textId="77777777" w:rsidR="00AD7BA9" w:rsidRPr="00AD7BA9" w:rsidRDefault="00AD7BA9" w:rsidP="000C6DAD">
            <w:pPr>
              <w:pStyle w:val="TableContent"/>
              <w:jc w:val="center"/>
              <w:rPr>
                <w:lang w:eastAsia="zh-CN"/>
              </w:rPr>
            </w:pPr>
            <w:r w:rsidRPr="00AD7BA9">
              <w:rPr>
                <w:lang w:eastAsia="zh-CN"/>
              </w:rPr>
              <w:t>0.105</w:t>
            </w:r>
          </w:p>
        </w:tc>
        <w:tc>
          <w:tcPr>
            <w:tcW w:w="650" w:type="pct"/>
            <w:shd w:val="clear" w:color="auto" w:fill="auto"/>
            <w:vAlign w:val="center"/>
            <w:hideMark/>
          </w:tcPr>
          <w:p w14:paraId="042A4018" w14:textId="77777777" w:rsidR="00AD7BA9" w:rsidRPr="00AD7BA9" w:rsidRDefault="00AD7BA9" w:rsidP="000C6DAD">
            <w:pPr>
              <w:pStyle w:val="TableContent"/>
              <w:jc w:val="center"/>
              <w:rPr>
                <w:lang w:eastAsia="zh-CN"/>
              </w:rPr>
            </w:pPr>
            <w:r w:rsidRPr="00AD7BA9">
              <w:rPr>
                <w:lang w:eastAsia="zh-CN"/>
              </w:rPr>
              <w:t>0.083</w:t>
            </w:r>
          </w:p>
        </w:tc>
        <w:tc>
          <w:tcPr>
            <w:tcW w:w="650" w:type="pct"/>
            <w:shd w:val="clear" w:color="auto" w:fill="auto"/>
            <w:vAlign w:val="center"/>
            <w:hideMark/>
          </w:tcPr>
          <w:p w14:paraId="63E9927D" w14:textId="77777777" w:rsidR="00AD7BA9" w:rsidRPr="00AD7BA9" w:rsidRDefault="00AD7BA9" w:rsidP="000C6DAD">
            <w:pPr>
              <w:pStyle w:val="TableContent"/>
              <w:jc w:val="center"/>
              <w:rPr>
                <w:lang w:eastAsia="zh-CN"/>
              </w:rPr>
            </w:pPr>
            <w:r w:rsidRPr="00AD7BA9">
              <w:rPr>
                <w:lang w:eastAsia="zh-CN"/>
              </w:rPr>
              <w:t>0.106</w:t>
            </w:r>
          </w:p>
        </w:tc>
        <w:tc>
          <w:tcPr>
            <w:tcW w:w="650" w:type="pct"/>
            <w:shd w:val="clear" w:color="auto" w:fill="auto"/>
            <w:vAlign w:val="center"/>
            <w:hideMark/>
          </w:tcPr>
          <w:p w14:paraId="12A5A0FA" w14:textId="77777777" w:rsidR="00AD7BA9" w:rsidRPr="00AD7BA9" w:rsidRDefault="00AD7BA9" w:rsidP="000C6DAD">
            <w:pPr>
              <w:pStyle w:val="TableContent"/>
              <w:jc w:val="center"/>
              <w:rPr>
                <w:lang w:eastAsia="zh-CN"/>
              </w:rPr>
            </w:pPr>
            <w:r w:rsidRPr="00AD7BA9">
              <w:rPr>
                <w:lang w:eastAsia="zh-CN"/>
              </w:rPr>
              <w:t>972.7</w:t>
            </w:r>
          </w:p>
        </w:tc>
        <w:tc>
          <w:tcPr>
            <w:tcW w:w="650" w:type="pct"/>
            <w:shd w:val="clear" w:color="auto" w:fill="auto"/>
            <w:vAlign w:val="center"/>
            <w:hideMark/>
          </w:tcPr>
          <w:p w14:paraId="771D48F2" w14:textId="77777777" w:rsidR="00AD7BA9" w:rsidRPr="00AD7BA9" w:rsidRDefault="00AD7BA9" w:rsidP="000C6DAD">
            <w:pPr>
              <w:pStyle w:val="TableContent"/>
              <w:jc w:val="center"/>
              <w:rPr>
                <w:lang w:eastAsia="zh-CN"/>
              </w:rPr>
            </w:pPr>
            <w:r w:rsidRPr="00AD7BA9">
              <w:rPr>
                <w:lang w:eastAsia="zh-CN"/>
              </w:rPr>
              <w:t>9.26</w:t>
            </w:r>
          </w:p>
        </w:tc>
        <w:tc>
          <w:tcPr>
            <w:tcW w:w="650" w:type="pct"/>
            <w:shd w:val="clear" w:color="auto" w:fill="auto"/>
            <w:vAlign w:val="center"/>
            <w:hideMark/>
          </w:tcPr>
          <w:p w14:paraId="3984599C" w14:textId="77777777" w:rsidR="00AD7BA9" w:rsidRPr="00AD7BA9" w:rsidRDefault="00AD7BA9" w:rsidP="000C6DAD">
            <w:pPr>
              <w:pStyle w:val="TableContent"/>
              <w:jc w:val="center"/>
              <w:rPr>
                <w:lang w:eastAsia="zh-CN"/>
              </w:rPr>
            </w:pPr>
            <w:r w:rsidRPr="00AD7BA9">
              <w:rPr>
                <w:lang w:eastAsia="zh-CN"/>
              </w:rPr>
              <w:t>0.97</w:t>
            </w:r>
          </w:p>
        </w:tc>
      </w:tr>
      <w:tr w:rsidR="008B26A4" w:rsidRPr="00AD7BA9" w14:paraId="77D93C9F" w14:textId="77777777" w:rsidTr="000C6DAD">
        <w:trPr>
          <w:tblCellSpacing w:w="15" w:type="dxa"/>
          <w:jc w:val="center"/>
        </w:trPr>
        <w:tc>
          <w:tcPr>
            <w:tcW w:w="650" w:type="pct"/>
            <w:shd w:val="clear" w:color="auto" w:fill="auto"/>
            <w:vAlign w:val="center"/>
            <w:hideMark/>
          </w:tcPr>
          <w:p w14:paraId="1D116B70" w14:textId="77777777" w:rsidR="00AD7BA9" w:rsidRPr="00AD7BA9" w:rsidRDefault="00AD7BA9" w:rsidP="000C6DAD">
            <w:pPr>
              <w:pStyle w:val="TableContent"/>
              <w:jc w:val="center"/>
              <w:rPr>
                <w:lang w:eastAsia="zh-CN"/>
              </w:rPr>
            </w:pPr>
            <w:r w:rsidRPr="00AD7BA9">
              <w:rPr>
                <w:lang w:eastAsia="zh-CN"/>
              </w:rPr>
              <w:t>348-362</w:t>
            </w:r>
          </w:p>
        </w:tc>
        <w:tc>
          <w:tcPr>
            <w:tcW w:w="650" w:type="pct"/>
            <w:shd w:val="clear" w:color="auto" w:fill="auto"/>
            <w:vAlign w:val="center"/>
            <w:hideMark/>
          </w:tcPr>
          <w:p w14:paraId="4053661A" w14:textId="77777777" w:rsidR="00AD7BA9" w:rsidRPr="00AD7BA9" w:rsidRDefault="00AD7BA9" w:rsidP="000C6DAD">
            <w:pPr>
              <w:pStyle w:val="TableContent"/>
              <w:jc w:val="center"/>
              <w:rPr>
                <w:lang w:eastAsia="zh-CN"/>
              </w:rPr>
            </w:pPr>
            <w:r w:rsidRPr="00AD7BA9">
              <w:rPr>
                <w:lang w:eastAsia="zh-CN"/>
              </w:rPr>
              <w:t>22</w:t>
            </w:r>
          </w:p>
        </w:tc>
        <w:tc>
          <w:tcPr>
            <w:tcW w:w="650" w:type="pct"/>
            <w:shd w:val="clear" w:color="auto" w:fill="auto"/>
            <w:vAlign w:val="center"/>
            <w:hideMark/>
          </w:tcPr>
          <w:p w14:paraId="5A80D90C" w14:textId="77777777" w:rsidR="00AD7BA9" w:rsidRPr="00AD7BA9" w:rsidRDefault="00AD7BA9" w:rsidP="000C6DAD">
            <w:pPr>
              <w:pStyle w:val="TableContent"/>
              <w:jc w:val="center"/>
              <w:rPr>
                <w:lang w:eastAsia="zh-CN"/>
              </w:rPr>
            </w:pPr>
            <w:r w:rsidRPr="00AD7BA9">
              <w:rPr>
                <w:lang w:eastAsia="zh-CN"/>
              </w:rPr>
              <w:t>0.022</w:t>
            </w:r>
          </w:p>
        </w:tc>
        <w:tc>
          <w:tcPr>
            <w:tcW w:w="650" w:type="pct"/>
            <w:shd w:val="clear" w:color="auto" w:fill="auto"/>
            <w:vAlign w:val="center"/>
            <w:hideMark/>
          </w:tcPr>
          <w:p w14:paraId="1C1386E4" w14:textId="77777777" w:rsidR="00AD7BA9" w:rsidRPr="00AD7BA9" w:rsidRDefault="00AD7BA9" w:rsidP="000C6DAD">
            <w:pPr>
              <w:pStyle w:val="TableContent"/>
              <w:jc w:val="center"/>
              <w:rPr>
                <w:lang w:eastAsia="zh-CN"/>
              </w:rPr>
            </w:pPr>
            <w:r w:rsidRPr="00AD7BA9">
              <w:rPr>
                <w:lang w:eastAsia="zh-CN"/>
              </w:rPr>
              <w:t>0.022</w:t>
            </w:r>
          </w:p>
        </w:tc>
        <w:tc>
          <w:tcPr>
            <w:tcW w:w="650" w:type="pct"/>
            <w:shd w:val="clear" w:color="auto" w:fill="auto"/>
            <w:vAlign w:val="center"/>
            <w:hideMark/>
          </w:tcPr>
          <w:p w14:paraId="342A9107" w14:textId="77777777" w:rsidR="00AD7BA9" w:rsidRPr="00AD7BA9" w:rsidRDefault="00AD7BA9" w:rsidP="000C6DAD">
            <w:pPr>
              <w:pStyle w:val="TableContent"/>
              <w:jc w:val="center"/>
              <w:rPr>
                <w:lang w:eastAsia="zh-CN"/>
              </w:rPr>
            </w:pPr>
            <w:r w:rsidRPr="00AD7BA9">
              <w:rPr>
                <w:lang w:eastAsia="zh-CN"/>
              </w:rPr>
              <w:t>1.000</w:t>
            </w:r>
          </w:p>
        </w:tc>
        <w:tc>
          <w:tcPr>
            <w:tcW w:w="650" w:type="pct"/>
            <w:shd w:val="clear" w:color="auto" w:fill="auto"/>
            <w:vAlign w:val="center"/>
            <w:hideMark/>
          </w:tcPr>
          <w:p w14:paraId="600A75DC" w14:textId="77777777" w:rsidR="00AD7BA9" w:rsidRPr="00AD7BA9" w:rsidRDefault="00AD7BA9" w:rsidP="000C6DAD">
            <w:pPr>
              <w:pStyle w:val="TableContent"/>
              <w:jc w:val="center"/>
              <w:rPr>
                <w:lang w:eastAsia="zh-CN"/>
              </w:rPr>
            </w:pPr>
            <w:r w:rsidRPr="00AD7BA9">
              <w:rPr>
                <w:lang w:eastAsia="zh-CN"/>
              </w:rPr>
              <w:t>94.8</w:t>
            </w:r>
          </w:p>
        </w:tc>
        <w:tc>
          <w:tcPr>
            <w:tcW w:w="650" w:type="pct"/>
            <w:shd w:val="clear" w:color="auto" w:fill="auto"/>
            <w:vAlign w:val="center"/>
            <w:hideMark/>
          </w:tcPr>
          <w:p w14:paraId="0C585B3B" w14:textId="77777777" w:rsidR="00AD7BA9" w:rsidRPr="00AD7BA9" w:rsidRDefault="00AD7BA9" w:rsidP="000C6DAD">
            <w:pPr>
              <w:pStyle w:val="TableContent"/>
              <w:jc w:val="center"/>
              <w:rPr>
                <w:lang w:eastAsia="zh-CN"/>
              </w:rPr>
            </w:pPr>
            <w:r w:rsidRPr="00AD7BA9">
              <w:rPr>
                <w:lang w:eastAsia="zh-CN"/>
              </w:rPr>
              <w:t>4.31</w:t>
            </w:r>
          </w:p>
        </w:tc>
        <w:tc>
          <w:tcPr>
            <w:tcW w:w="650" w:type="pct"/>
            <w:shd w:val="clear" w:color="auto" w:fill="auto"/>
            <w:vAlign w:val="center"/>
            <w:hideMark/>
          </w:tcPr>
          <w:p w14:paraId="34B0A5E6" w14:textId="77777777" w:rsidR="00AD7BA9" w:rsidRPr="00AD7BA9" w:rsidRDefault="00AD7BA9" w:rsidP="000C6DAD">
            <w:pPr>
              <w:pStyle w:val="TableContent"/>
              <w:jc w:val="center"/>
              <w:rPr>
                <w:lang w:eastAsia="zh-CN"/>
              </w:rPr>
            </w:pPr>
            <w:r w:rsidRPr="00AD7BA9">
              <w:rPr>
                <w:lang w:eastAsia="zh-CN"/>
              </w:rPr>
              <w:t>0.10</w:t>
            </w:r>
          </w:p>
        </w:tc>
      </w:tr>
      <w:tr w:rsidR="008B26A4" w:rsidRPr="00AD7BA9" w14:paraId="57A9E44F" w14:textId="77777777" w:rsidTr="000C6DAD">
        <w:trPr>
          <w:tblCellSpacing w:w="15" w:type="dxa"/>
          <w:jc w:val="center"/>
        </w:trPr>
        <w:tc>
          <w:tcPr>
            <w:tcW w:w="650" w:type="pct"/>
            <w:shd w:val="clear" w:color="auto" w:fill="auto"/>
            <w:vAlign w:val="center"/>
            <w:hideMark/>
          </w:tcPr>
          <w:p w14:paraId="63F79852" w14:textId="77777777" w:rsidR="00AD7BA9" w:rsidRPr="00AD7BA9" w:rsidRDefault="00AD7BA9" w:rsidP="000C6DAD">
            <w:pPr>
              <w:pStyle w:val="TableContent"/>
              <w:jc w:val="center"/>
              <w:rPr>
                <w:lang w:eastAsia="zh-CN"/>
              </w:rPr>
            </w:pPr>
            <w:r w:rsidRPr="00AD7BA9">
              <w:rPr>
                <w:lang w:eastAsia="zh-CN"/>
              </w:rPr>
              <w:t>362--</w:t>
            </w:r>
          </w:p>
        </w:tc>
        <w:tc>
          <w:tcPr>
            <w:tcW w:w="650" w:type="pct"/>
            <w:shd w:val="clear" w:color="auto" w:fill="auto"/>
            <w:vAlign w:val="center"/>
            <w:hideMark/>
          </w:tcPr>
          <w:p w14:paraId="2C9B65AC" w14:textId="77777777" w:rsidR="00AD7BA9" w:rsidRPr="00AD7BA9" w:rsidRDefault="00AD7BA9" w:rsidP="000C6DAD">
            <w:pPr>
              <w:pStyle w:val="TableContent"/>
              <w:jc w:val="center"/>
              <w:rPr>
                <w:lang w:eastAsia="zh-CN"/>
              </w:rPr>
            </w:pPr>
            <w:r w:rsidRPr="00AD7BA9">
              <w:rPr>
                <w:lang w:eastAsia="zh-CN"/>
              </w:rPr>
              <w:t>0</w:t>
            </w:r>
          </w:p>
        </w:tc>
        <w:tc>
          <w:tcPr>
            <w:tcW w:w="650" w:type="pct"/>
            <w:shd w:val="clear" w:color="auto" w:fill="auto"/>
            <w:vAlign w:val="center"/>
            <w:hideMark/>
          </w:tcPr>
          <w:p w14:paraId="60982FD4" w14:textId="77777777" w:rsidR="00AD7BA9" w:rsidRPr="00AD7BA9" w:rsidRDefault="00AD7BA9" w:rsidP="000C6DAD">
            <w:pPr>
              <w:pStyle w:val="TableContent"/>
              <w:jc w:val="center"/>
              <w:rPr>
                <w:lang w:eastAsia="zh-CN"/>
              </w:rPr>
            </w:pPr>
            <w:r w:rsidRPr="00AD7BA9">
              <w:rPr>
                <w:lang w:eastAsia="zh-CN"/>
              </w:rPr>
              <w:t>0.000</w:t>
            </w:r>
          </w:p>
        </w:tc>
        <w:tc>
          <w:tcPr>
            <w:tcW w:w="650" w:type="pct"/>
            <w:shd w:val="clear" w:color="auto" w:fill="auto"/>
            <w:vAlign w:val="center"/>
            <w:hideMark/>
          </w:tcPr>
          <w:p w14:paraId="496FC8A2" w14:textId="77777777" w:rsidR="00AD7BA9" w:rsidRPr="00AD7BA9" w:rsidRDefault="00AD7BA9" w:rsidP="000C6DAD">
            <w:pPr>
              <w:pStyle w:val="TableContent"/>
              <w:jc w:val="center"/>
              <w:rPr>
                <w:lang w:eastAsia="zh-CN"/>
              </w:rPr>
            </w:pPr>
            <w:r w:rsidRPr="00AD7BA9">
              <w:rPr>
                <w:lang w:eastAsia="zh-CN"/>
              </w:rPr>
              <w:t>--</w:t>
            </w:r>
          </w:p>
        </w:tc>
        <w:tc>
          <w:tcPr>
            <w:tcW w:w="650" w:type="pct"/>
            <w:shd w:val="clear" w:color="auto" w:fill="auto"/>
            <w:vAlign w:val="center"/>
            <w:hideMark/>
          </w:tcPr>
          <w:p w14:paraId="6070C8EA" w14:textId="77777777" w:rsidR="00AD7BA9" w:rsidRPr="00AD7BA9" w:rsidRDefault="00AD7BA9" w:rsidP="000C6DAD">
            <w:pPr>
              <w:pStyle w:val="TableContent"/>
              <w:jc w:val="center"/>
              <w:rPr>
                <w:lang w:eastAsia="zh-CN"/>
              </w:rPr>
            </w:pPr>
            <w:r w:rsidRPr="00AD7BA9">
              <w:rPr>
                <w:lang w:eastAsia="zh-CN"/>
              </w:rPr>
              <w:t>--</w:t>
            </w:r>
          </w:p>
        </w:tc>
        <w:tc>
          <w:tcPr>
            <w:tcW w:w="650" w:type="pct"/>
            <w:shd w:val="clear" w:color="auto" w:fill="auto"/>
            <w:vAlign w:val="center"/>
            <w:hideMark/>
          </w:tcPr>
          <w:p w14:paraId="61D89F95" w14:textId="77777777" w:rsidR="00AD7BA9" w:rsidRPr="00AD7BA9" w:rsidRDefault="00AD7BA9" w:rsidP="000C6DAD">
            <w:pPr>
              <w:pStyle w:val="TableContent"/>
              <w:jc w:val="center"/>
              <w:rPr>
                <w:lang w:eastAsia="zh-CN"/>
              </w:rPr>
            </w:pPr>
            <w:r w:rsidRPr="00AD7BA9">
              <w:rPr>
                <w:lang w:eastAsia="zh-CN"/>
              </w:rPr>
              <w:t>--</w:t>
            </w:r>
          </w:p>
        </w:tc>
        <w:tc>
          <w:tcPr>
            <w:tcW w:w="650" w:type="pct"/>
            <w:shd w:val="clear" w:color="auto" w:fill="auto"/>
            <w:vAlign w:val="center"/>
            <w:hideMark/>
          </w:tcPr>
          <w:p w14:paraId="4E6F0A85" w14:textId="77777777" w:rsidR="00AD7BA9" w:rsidRPr="00AD7BA9" w:rsidRDefault="00AD7BA9" w:rsidP="000C6DAD">
            <w:pPr>
              <w:pStyle w:val="TableContent"/>
              <w:jc w:val="center"/>
              <w:rPr>
                <w:lang w:eastAsia="zh-CN"/>
              </w:rPr>
            </w:pPr>
            <w:r w:rsidRPr="00AD7BA9">
              <w:rPr>
                <w:lang w:eastAsia="zh-CN"/>
              </w:rPr>
              <w:t>--</w:t>
            </w:r>
          </w:p>
        </w:tc>
        <w:tc>
          <w:tcPr>
            <w:tcW w:w="650" w:type="pct"/>
            <w:shd w:val="clear" w:color="auto" w:fill="auto"/>
            <w:vAlign w:val="center"/>
            <w:hideMark/>
          </w:tcPr>
          <w:p w14:paraId="14F35FAB" w14:textId="77777777" w:rsidR="00AD7BA9" w:rsidRPr="00AD7BA9" w:rsidRDefault="00AD7BA9" w:rsidP="000C6DAD">
            <w:pPr>
              <w:pStyle w:val="TableContent"/>
              <w:jc w:val="center"/>
              <w:rPr>
                <w:lang w:eastAsia="zh-CN"/>
              </w:rPr>
            </w:pPr>
            <w:r w:rsidRPr="00AD7BA9">
              <w:rPr>
                <w:lang w:eastAsia="zh-CN"/>
              </w:rPr>
              <w:t>--</w:t>
            </w:r>
          </w:p>
        </w:tc>
      </w:tr>
    </w:tbl>
    <w:p w14:paraId="2BA88597" w14:textId="77777777" w:rsidR="00AD7BA9" w:rsidRPr="00AD7BA9" w:rsidRDefault="00AD7BA9" w:rsidP="00AD7BA9">
      <w:pPr>
        <w:rPr>
          <w:lang w:eastAsia="zh-CN"/>
        </w:rPr>
      </w:pPr>
      <w:r w:rsidRPr="00AD7BA9">
        <w:rPr>
          <w:lang w:eastAsia="zh-CN"/>
        </w:rPr>
        <w:t xml:space="preserve">Notice that plants were not reproductive until the </w:t>
      </w:r>
      <w:proofErr w:type="gramStart"/>
      <w:r w:rsidRPr="00AD7BA9">
        <w:rPr>
          <w:lang w:eastAsia="zh-CN"/>
        </w:rPr>
        <w:t>292-306 day</w:t>
      </w:r>
      <w:proofErr w:type="gramEnd"/>
      <w:r w:rsidRPr="00AD7BA9">
        <w:rPr>
          <w:lang w:eastAsia="zh-CN"/>
        </w:rPr>
        <w:t xml:space="preserve"> age-class. We can graph the daily mortality rate (</w:t>
      </w:r>
      <w:proofErr w:type="spellStart"/>
      <w:r w:rsidRPr="00AD7BA9">
        <w:rPr>
          <w:i/>
          <w:iCs/>
          <w:lang w:eastAsia="zh-CN"/>
        </w:rPr>
        <w:t>q</w:t>
      </w:r>
      <w:r w:rsidRPr="00AD7BA9">
        <w:rPr>
          <w:i/>
          <w:iCs/>
          <w:vertAlign w:val="subscript"/>
          <w:lang w:eastAsia="zh-CN"/>
        </w:rPr>
        <w:t>x</w:t>
      </w:r>
      <w:proofErr w:type="spellEnd"/>
      <w:r w:rsidRPr="00AD7BA9">
        <w:rPr>
          <w:lang w:eastAsia="zh-CN"/>
        </w:rPr>
        <w:t>) to see at which points in its life history</w:t>
      </w:r>
      <w:r w:rsidR="0006563A">
        <w:rPr>
          <w:lang w:eastAsia="zh-CN"/>
        </w:rPr>
        <w:t xml:space="preserve"> </w:t>
      </w:r>
      <w:r w:rsidRPr="00AD7BA9">
        <w:rPr>
          <w:i/>
          <w:iCs/>
          <w:lang w:eastAsia="zh-CN"/>
        </w:rPr>
        <w:t xml:space="preserve">P. </w:t>
      </w:r>
      <w:proofErr w:type="spellStart"/>
      <w:r w:rsidRPr="00AD7BA9">
        <w:rPr>
          <w:i/>
          <w:iCs/>
          <w:lang w:eastAsia="zh-CN"/>
        </w:rPr>
        <w:t>drummondii</w:t>
      </w:r>
      <w:proofErr w:type="spellEnd"/>
      <w:r w:rsidR="009E32F2">
        <w:rPr>
          <w:lang w:eastAsia="zh-CN"/>
        </w:rPr>
        <w:t xml:space="preserve"> </w:t>
      </w:r>
      <w:r w:rsidRPr="00AD7BA9">
        <w:rPr>
          <w:lang w:eastAsia="zh-CN"/>
        </w:rPr>
        <w:t>is most vulnerable.</w:t>
      </w:r>
    </w:p>
    <w:p w14:paraId="7B19B1FE" w14:textId="77777777" w:rsidR="00AD7BA9" w:rsidRPr="00AD7BA9" w:rsidRDefault="00AD7BA9" w:rsidP="000C6DAD">
      <w:pPr>
        <w:jc w:val="center"/>
        <w:rPr>
          <w:lang w:eastAsia="zh-CN"/>
        </w:rPr>
      </w:pPr>
      <w:r w:rsidRPr="00AD7BA9">
        <w:rPr>
          <w:lang w:eastAsia="zh-CN"/>
        </w:rPr>
        <w:lastRenderedPageBreak/>
        <w:fldChar w:fldCharType="begin"/>
      </w:r>
      <w:r w:rsidRPr="00AD7BA9">
        <w:rPr>
          <w:lang w:eastAsia="zh-CN"/>
        </w:rPr>
        <w:instrText xml:space="preserve"> INCLUDEPICTURE "http://www.tiem.utk.edu/~gross/bioed/bealsmodules/lifetables.gph.gif" \* MERGEFORMATINET </w:instrText>
      </w:r>
      <w:r w:rsidRPr="00AD7BA9">
        <w:rPr>
          <w:lang w:eastAsia="zh-CN"/>
        </w:rPr>
        <w:fldChar w:fldCharType="separate"/>
      </w:r>
      <w:r w:rsidRPr="00AD7BA9">
        <w:rPr>
          <w:noProof/>
          <w:lang w:eastAsia="zh-CN"/>
        </w:rPr>
        <w:drawing>
          <wp:inline distT="0" distB="0" distL="0" distR="0" wp14:anchorId="0F77D031" wp14:editId="027AA6F8">
            <wp:extent cx="3657600" cy="2440792"/>
            <wp:effectExtent l="0" t="0" r="0" b="0"/>
            <wp:docPr id="1" name="Picture 1" descr="http://www.tiem.utk.edu/~gross/bioed/bealsmodules/lifetables.gp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tiem.utk.edu/~gross/bioed/bealsmodules/lifetables.gph.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57600" cy="2440792"/>
                    </a:xfrm>
                    <a:prstGeom prst="rect">
                      <a:avLst/>
                    </a:prstGeom>
                    <a:noFill/>
                    <a:ln>
                      <a:noFill/>
                    </a:ln>
                  </pic:spPr>
                </pic:pic>
              </a:graphicData>
            </a:graphic>
          </wp:inline>
        </w:drawing>
      </w:r>
      <w:r w:rsidRPr="00AD7BA9">
        <w:rPr>
          <w:lang w:eastAsia="zh-CN"/>
        </w:rPr>
        <w:fldChar w:fldCharType="end"/>
      </w:r>
    </w:p>
    <w:p w14:paraId="23CE49B2" w14:textId="77777777" w:rsidR="008E6A8B" w:rsidRPr="004A0FC0" w:rsidRDefault="00AD7BA9" w:rsidP="00AD7BA9">
      <w:pPr>
        <w:rPr>
          <w:color w:val="auto"/>
          <w:sz w:val="24"/>
          <w:szCs w:val="24"/>
          <w:lang w:eastAsia="zh-CN"/>
        </w:rPr>
      </w:pPr>
      <w:r w:rsidRPr="00AD7BA9">
        <w:rPr>
          <w:lang w:eastAsia="zh-CN"/>
        </w:rPr>
        <w:t>From the graph we can see that the daily mortality is somewhat higher when plants are in the second age class (63-124 days), and that the mortality rate rises dramatically beginning in the age class 320-334. We can also sum the</w:t>
      </w:r>
      <w:r w:rsidR="000C6DAD">
        <w:rPr>
          <w:lang w:eastAsia="zh-CN"/>
        </w:rPr>
        <w:t xml:space="preserve"> </w:t>
      </w:r>
      <w:proofErr w:type="spellStart"/>
      <w:r w:rsidRPr="00AD7BA9">
        <w:rPr>
          <w:i/>
          <w:iCs/>
          <w:lang w:eastAsia="zh-CN"/>
        </w:rPr>
        <w:t>F</w:t>
      </w:r>
      <w:r w:rsidRPr="00AD7BA9">
        <w:rPr>
          <w:i/>
          <w:iCs/>
          <w:vertAlign w:val="subscript"/>
          <w:lang w:eastAsia="zh-CN"/>
        </w:rPr>
        <w:t>x</w:t>
      </w:r>
      <w:proofErr w:type="spellEnd"/>
      <w:r w:rsidR="000C6DAD">
        <w:rPr>
          <w:lang w:eastAsia="zh-CN"/>
        </w:rPr>
        <w:t xml:space="preserve"> </w:t>
      </w:r>
      <w:r w:rsidRPr="00AD7BA9">
        <w:rPr>
          <w:lang w:eastAsia="zh-CN"/>
        </w:rPr>
        <w:t>column to get the total reproductive output of this cohort, which gives a value of 2408.2 seeds. To calculate R</w:t>
      </w:r>
      <w:r w:rsidRPr="00AD7BA9">
        <w:rPr>
          <w:vertAlign w:val="subscript"/>
          <w:lang w:eastAsia="zh-CN"/>
        </w:rPr>
        <w:t>0</w:t>
      </w:r>
      <w:r w:rsidRPr="00AD7BA9">
        <w:rPr>
          <w:lang w:eastAsia="zh-CN"/>
        </w:rPr>
        <w:t>, the basic reproductive rate, we can sum the</w:t>
      </w:r>
      <w:r w:rsidR="000C6DAD">
        <w:rPr>
          <w:lang w:eastAsia="zh-CN"/>
        </w:rPr>
        <w:t xml:space="preserve"> </w:t>
      </w:r>
      <w:proofErr w:type="spellStart"/>
      <w:r w:rsidRPr="00AD7BA9">
        <w:rPr>
          <w:i/>
          <w:iCs/>
          <w:lang w:eastAsia="zh-CN"/>
        </w:rPr>
        <w:t>l</w:t>
      </w:r>
      <w:r w:rsidRPr="00AD7BA9">
        <w:rPr>
          <w:i/>
          <w:iCs/>
          <w:vertAlign w:val="subscript"/>
          <w:lang w:eastAsia="zh-CN"/>
        </w:rPr>
        <w:t>x</w:t>
      </w:r>
      <w:r w:rsidRPr="00AD7BA9">
        <w:rPr>
          <w:i/>
          <w:iCs/>
          <w:lang w:eastAsia="zh-CN"/>
        </w:rPr>
        <w:t>m</w:t>
      </w:r>
      <w:r w:rsidRPr="00AD7BA9">
        <w:rPr>
          <w:i/>
          <w:iCs/>
          <w:vertAlign w:val="subscript"/>
          <w:lang w:eastAsia="zh-CN"/>
        </w:rPr>
        <w:t>x</w:t>
      </w:r>
      <w:proofErr w:type="spellEnd"/>
      <w:r w:rsidR="000C6DAD">
        <w:rPr>
          <w:lang w:eastAsia="zh-CN"/>
        </w:rPr>
        <w:t xml:space="preserve"> </w:t>
      </w:r>
      <w:r w:rsidRPr="00AD7BA9">
        <w:rPr>
          <w:lang w:eastAsia="zh-CN"/>
        </w:rPr>
        <w:t>column to get a value of 2.41.</w:t>
      </w:r>
    </w:p>
    <w:p w14:paraId="3BEE0536" w14:textId="77777777" w:rsidR="00283F45" w:rsidRDefault="00283F45" w:rsidP="00283F45">
      <w:pPr>
        <w:pStyle w:val="Heading1"/>
      </w:pPr>
      <w:r w:rsidRPr="00283F45">
        <w:t>Interpretation</w:t>
      </w:r>
    </w:p>
    <w:p w14:paraId="354AB066" w14:textId="77777777" w:rsidR="008E6A8B" w:rsidRPr="004A0FC0" w:rsidRDefault="004A0FC0" w:rsidP="004A0FC0">
      <w:pPr>
        <w:rPr>
          <w:color w:val="auto"/>
          <w:sz w:val="24"/>
          <w:szCs w:val="24"/>
          <w:lang w:eastAsia="zh-CN"/>
        </w:rPr>
      </w:pPr>
      <w:r w:rsidRPr="004A0FC0">
        <w:rPr>
          <w:i/>
          <w:iCs/>
          <w:shd w:val="clear" w:color="auto" w:fill="FFFFFF"/>
          <w:lang w:eastAsia="zh-CN"/>
        </w:rPr>
        <w:t>Phlox</w:t>
      </w:r>
      <w:r>
        <w:rPr>
          <w:shd w:val="clear" w:color="auto" w:fill="FFFFFF"/>
          <w:lang w:eastAsia="zh-CN"/>
        </w:rPr>
        <w:t xml:space="preserve"> </w:t>
      </w:r>
      <w:r w:rsidRPr="004A0FC0">
        <w:rPr>
          <w:shd w:val="clear" w:color="auto" w:fill="FFFFFF"/>
          <w:lang w:eastAsia="zh-CN"/>
        </w:rPr>
        <w:t xml:space="preserve">plants appear to be most vulnerable (excluding death from "old age") in the first three age classes, with a peak in the second one (63-124 days). If conservation of this species were needed, we would know to expend our efforts during these </w:t>
      </w:r>
      <w:r w:rsidR="001C3BA6" w:rsidRPr="004A0FC0">
        <w:rPr>
          <w:shd w:val="clear" w:color="auto" w:fill="FFFFFF"/>
          <w:lang w:eastAsia="zh-CN"/>
        </w:rPr>
        <w:t>three-time</w:t>
      </w:r>
      <w:r w:rsidRPr="004A0FC0">
        <w:rPr>
          <w:shd w:val="clear" w:color="auto" w:fill="FFFFFF"/>
          <w:lang w:eastAsia="zh-CN"/>
        </w:rPr>
        <w:t xml:space="preserve"> intervals to maximize the success of this population. Based on these data, however, the basic reproductive rate of this population (</w:t>
      </w:r>
      <w:r w:rsidRPr="004A0FC0">
        <w:rPr>
          <w:i/>
          <w:iCs/>
          <w:shd w:val="clear" w:color="auto" w:fill="FFFFFF"/>
          <w:lang w:eastAsia="zh-CN"/>
        </w:rPr>
        <w:t>R</w:t>
      </w:r>
      <w:r w:rsidRPr="004A0FC0">
        <w:rPr>
          <w:i/>
          <w:iCs/>
          <w:shd w:val="clear" w:color="auto" w:fill="FFFFFF"/>
          <w:vertAlign w:val="subscript"/>
          <w:lang w:eastAsia="zh-CN"/>
        </w:rPr>
        <w:t>0</w:t>
      </w:r>
      <w:r w:rsidRPr="004A0FC0">
        <w:rPr>
          <w:shd w:val="clear" w:color="auto" w:fill="FFFFFF"/>
          <w:lang w:eastAsia="zh-CN"/>
        </w:rPr>
        <w:t>) was 2.41; the population increased by a factor of 2.4. At least when these data were collected, the population was not in any danger of decreasing in size.</w:t>
      </w:r>
    </w:p>
    <w:p w14:paraId="0D5E1359" w14:textId="77777777" w:rsidR="00283F45" w:rsidRDefault="00283F45" w:rsidP="00283F45">
      <w:pPr>
        <w:pStyle w:val="Heading1"/>
      </w:pPr>
      <w:r>
        <w:t>Conclusion</w:t>
      </w:r>
    </w:p>
    <w:p w14:paraId="6D18EC16" w14:textId="77777777" w:rsidR="008E6A8B" w:rsidRPr="001C3BA6" w:rsidRDefault="001C3BA6" w:rsidP="001C3BA6">
      <w:pPr>
        <w:rPr>
          <w:color w:val="auto"/>
          <w:sz w:val="24"/>
          <w:szCs w:val="24"/>
          <w:lang w:eastAsia="zh-CN"/>
        </w:rPr>
      </w:pPr>
      <w:r w:rsidRPr="001C3BA6">
        <w:rPr>
          <w:shd w:val="clear" w:color="auto" w:fill="FFFFFF"/>
          <w:lang w:eastAsia="zh-CN"/>
        </w:rPr>
        <w:t>Life table data can provide much insight into the demographics of a population. Quantifying age-specific birth and death rates enables us to discern patterns and make predictions about the growth or decline of populations in the future.</w:t>
      </w:r>
    </w:p>
    <w:p w14:paraId="7025EF04" w14:textId="77777777" w:rsidR="008E6A8B" w:rsidRDefault="008E6A8B" w:rsidP="00283F45">
      <w:pPr>
        <w:pStyle w:val="Heading1"/>
      </w:pPr>
      <w:r>
        <w:t>Additional Questions</w:t>
      </w:r>
    </w:p>
    <w:p w14:paraId="7A4F635C" w14:textId="77777777" w:rsidR="008E6A8B" w:rsidRPr="00924E36" w:rsidRDefault="00924E36" w:rsidP="00924E36">
      <w:pPr>
        <w:rPr>
          <w:lang w:eastAsia="zh-CN"/>
        </w:rPr>
      </w:pPr>
      <w:r w:rsidRPr="00924E36">
        <w:rPr>
          <w:lang w:eastAsia="zh-CN"/>
        </w:rPr>
        <w:t>1. Calculate the killing power (</w:t>
      </w:r>
      <w:proofErr w:type="spellStart"/>
      <w:r w:rsidRPr="00924E36">
        <w:rPr>
          <w:i/>
          <w:iCs/>
          <w:lang w:eastAsia="zh-CN"/>
        </w:rPr>
        <w:t>k</w:t>
      </w:r>
      <w:r w:rsidRPr="00924E36">
        <w:rPr>
          <w:i/>
          <w:iCs/>
          <w:vertAlign w:val="subscript"/>
          <w:lang w:eastAsia="zh-CN"/>
        </w:rPr>
        <w:t>x</w:t>
      </w:r>
      <w:proofErr w:type="spellEnd"/>
      <w:r w:rsidRPr="00924E36">
        <w:rPr>
          <w:lang w:eastAsia="zh-CN"/>
        </w:rPr>
        <w:t>) for this plant using the</w:t>
      </w:r>
      <w:r>
        <w:rPr>
          <w:lang w:eastAsia="zh-CN"/>
        </w:rPr>
        <w:t xml:space="preserve"> </w:t>
      </w:r>
      <w:r w:rsidRPr="00924E36">
        <w:rPr>
          <w:i/>
          <w:iCs/>
          <w:lang w:eastAsia="zh-CN"/>
        </w:rPr>
        <w:t>a</w:t>
      </w:r>
      <w:r w:rsidRPr="00924E36">
        <w:rPr>
          <w:i/>
          <w:iCs/>
          <w:vertAlign w:val="subscript"/>
          <w:lang w:eastAsia="zh-CN"/>
        </w:rPr>
        <w:t>x</w:t>
      </w:r>
      <w:r>
        <w:rPr>
          <w:lang w:eastAsia="zh-CN"/>
        </w:rPr>
        <w:t xml:space="preserve"> </w:t>
      </w:r>
      <w:r w:rsidRPr="00924E36">
        <w:rPr>
          <w:lang w:eastAsia="zh-CN"/>
        </w:rPr>
        <w:t>values. For what age class is killing power the highest?</w:t>
      </w:r>
    </w:p>
    <w:p w14:paraId="52A3CAD0" w14:textId="77777777" w:rsidR="00283F45" w:rsidRDefault="00283F45" w:rsidP="00283F45">
      <w:pPr>
        <w:pStyle w:val="Heading1"/>
      </w:pPr>
      <w:r>
        <w:t>Source</w:t>
      </w:r>
    </w:p>
    <w:p w14:paraId="70A87A48" w14:textId="77777777" w:rsidR="008E6A8B" w:rsidRDefault="00EE2FEA" w:rsidP="00EE2FEA">
      <w:proofErr w:type="spellStart"/>
      <w:r w:rsidRPr="00EE2FEA">
        <w:lastRenderedPageBreak/>
        <w:t>Begon</w:t>
      </w:r>
      <w:proofErr w:type="spellEnd"/>
      <w:r w:rsidRPr="00EE2FEA">
        <w:t xml:space="preserve">, M., J. L. Harper, and C. R. Townsend. 1996. </w:t>
      </w:r>
      <w:r w:rsidRPr="003F1518">
        <w:rPr>
          <w:i/>
        </w:rPr>
        <w:t>Ecology: Individuals, Populations, and Communities, 3rd edition</w:t>
      </w:r>
      <w:r w:rsidRPr="00EE2FEA">
        <w:t>. Blackwell Science Ltd. Cambridge, MA.</w:t>
      </w:r>
    </w:p>
    <w:p w14:paraId="0A680B81" w14:textId="77777777" w:rsidR="00A207B5" w:rsidRPr="00283F45" w:rsidRDefault="00A207B5" w:rsidP="00283F45">
      <w:pPr>
        <w:pStyle w:val="Heading1"/>
      </w:pPr>
      <w:r w:rsidRPr="00283F45">
        <w:t>About this Resource</w:t>
      </w:r>
    </w:p>
    <w:p w14:paraId="548E0457" w14:textId="77777777" w:rsidR="00A207B5" w:rsidRPr="004E5BE6" w:rsidRDefault="00A207B5" w:rsidP="00A207B5">
      <w:pPr>
        <w:rPr>
          <w:b/>
          <w:sz w:val="32"/>
          <w:szCs w:val="32"/>
        </w:rPr>
      </w:pPr>
      <w:r>
        <w:t>This material was originally distributed as part of “Alternative Routes to Quantitative Literacy for the Life Sciences</w:t>
      </w:r>
      <w:r>
        <w:rPr>
          <w:rStyle w:val="EndnoteReference"/>
          <w:bCs/>
        </w:rPr>
        <w:endnoteReference w:id="1"/>
      </w:r>
      <w:r>
        <w:t xml:space="preserve">” - National Science Foundation Award DUE-9752339 to the University of Tennessee, Knoxville for August 1, 1998 - July 31, 2000. Principal Investigator: Louis J. Gross. Co-Principal Investigators: Beth C. Mullin and Susan E. </w:t>
      </w:r>
      <w:proofErr w:type="spellStart"/>
      <w:r>
        <w:t>Riechert</w:t>
      </w:r>
      <w:proofErr w:type="spellEnd"/>
      <w:r>
        <w:t>.</w:t>
      </w:r>
    </w:p>
    <w:p w14:paraId="67496B73" w14:textId="77777777" w:rsidR="00A207B5" w:rsidRDefault="00A207B5" w:rsidP="00A207B5">
      <w:r>
        <w:t>This material is now being revised as part of the “Resources for Improving Quantitative Skills in Community College Biology</w:t>
      </w:r>
      <w:r>
        <w:rPr>
          <w:rStyle w:val="EndnoteReference"/>
          <w:bCs/>
        </w:rPr>
        <w:endnoteReference w:id="2"/>
      </w:r>
      <w:r>
        <w:t>” project. As part of that project is also aligned with the OpenStax Biology Textbook</w:t>
      </w:r>
      <w:r>
        <w:rPr>
          <w:rStyle w:val="EndnoteReference"/>
          <w:bCs/>
        </w:rPr>
        <w:endnoteReference w:id="3"/>
      </w:r>
      <w:r>
        <w:t xml:space="preserve">. </w:t>
      </w:r>
    </w:p>
    <w:p w14:paraId="06ABFF8F" w14:textId="77777777" w:rsidR="00A207B5" w:rsidRPr="00A207B5" w:rsidRDefault="00A207B5" w:rsidP="00A207B5">
      <w:r>
        <w:t>It is published using the QUBES Open Education Resources publishing platform</w:t>
      </w:r>
      <w:r>
        <w:rPr>
          <w:rStyle w:val="EndnoteReference"/>
        </w:rPr>
        <w:endnoteReference w:id="4"/>
      </w:r>
      <w:r>
        <w:t>.</w:t>
      </w:r>
    </w:p>
    <w:sectPr w:rsidR="00A207B5" w:rsidRPr="00A207B5" w:rsidSect="001E249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D35A47" w14:textId="77777777" w:rsidR="000368FE" w:rsidRDefault="000368FE" w:rsidP="00A207B5">
      <w:r>
        <w:separator/>
      </w:r>
    </w:p>
  </w:endnote>
  <w:endnote w:type="continuationSeparator" w:id="0">
    <w:p w14:paraId="293D446A" w14:textId="77777777" w:rsidR="000368FE" w:rsidRDefault="000368FE" w:rsidP="00A207B5">
      <w:r>
        <w:continuationSeparator/>
      </w:r>
    </w:p>
  </w:endnote>
  <w:endnote w:id="1">
    <w:p w14:paraId="2D5C821F" w14:textId="77777777" w:rsidR="00A207B5" w:rsidRDefault="00A207B5" w:rsidP="00A207B5">
      <w:pPr>
        <w:pStyle w:val="EndnoteText"/>
      </w:pPr>
      <w:r>
        <w:rPr>
          <w:rStyle w:val="EndnoteReference"/>
        </w:rPr>
        <w:endnoteRef/>
      </w:r>
      <w:r>
        <w:t xml:space="preserve"> http://www.tiem.utk.edu/~gross/bioed/</w:t>
      </w:r>
    </w:p>
  </w:endnote>
  <w:endnote w:id="2">
    <w:p w14:paraId="50F8BB59" w14:textId="77777777" w:rsidR="00A207B5" w:rsidRDefault="00A207B5" w:rsidP="00A207B5">
      <w:pPr>
        <w:pStyle w:val="EndnoteText"/>
      </w:pPr>
      <w:r>
        <w:rPr>
          <w:rStyle w:val="EndnoteReference"/>
        </w:rPr>
        <w:endnoteRef/>
      </w:r>
      <w:r>
        <w:t xml:space="preserve"> https://qubeshub.org/community/groups/quantbioatcc/</w:t>
      </w:r>
    </w:p>
  </w:endnote>
  <w:endnote w:id="3">
    <w:p w14:paraId="7138283C" w14:textId="77777777" w:rsidR="00A207B5" w:rsidRPr="00A207B5" w:rsidRDefault="00A207B5" w:rsidP="00A207B5">
      <w:pPr>
        <w:pStyle w:val="EndnoteText"/>
      </w:pPr>
      <w:r w:rsidRPr="00A207B5">
        <w:rPr>
          <w:rStyle w:val="EndnoteReference"/>
          <w:vertAlign w:val="baseline"/>
        </w:rPr>
        <w:endnoteRef/>
      </w:r>
      <w:r w:rsidRPr="00A207B5">
        <w:t xml:space="preserve"> https://openstax.org/details/books/biology-2e</w:t>
      </w:r>
    </w:p>
  </w:endnote>
  <w:endnote w:id="4">
    <w:p w14:paraId="126C7D03" w14:textId="48C32BF2" w:rsidR="00A207B5" w:rsidRDefault="00A207B5" w:rsidP="00A207B5">
      <w:pPr>
        <w:pStyle w:val="EndnoteText"/>
      </w:pPr>
      <w:r>
        <w:rPr>
          <w:rStyle w:val="EndnoteReference"/>
        </w:rPr>
        <w:endnoteRef/>
      </w:r>
      <w:r>
        <w:t xml:space="preserve"> </w:t>
      </w:r>
      <w:r w:rsidRPr="00B50C5B">
        <w:t>https://qubeshub.org/qubesresources/publications/</w:t>
      </w:r>
      <w:r w:rsidR="00B02439">
        <w:t>1054</w:t>
      </w:r>
      <w:bookmarkStart w:id="0" w:name="_GoBack"/>
      <w:bookmarkEnd w:id="0"/>
      <w: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309963" w14:textId="77777777" w:rsidR="000368FE" w:rsidRDefault="000368FE" w:rsidP="00A207B5">
      <w:r>
        <w:separator/>
      </w:r>
    </w:p>
  </w:footnote>
  <w:footnote w:type="continuationSeparator" w:id="0">
    <w:p w14:paraId="4AEA14AC" w14:textId="77777777" w:rsidR="000368FE" w:rsidRDefault="000368FE" w:rsidP="00A207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7A6"/>
    <w:rsid w:val="000368FE"/>
    <w:rsid w:val="0006563A"/>
    <w:rsid w:val="000966D0"/>
    <w:rsid w:val="000A2234"/>
    <w:rsid w:val="000C426D"/>
    <w:rsid w:val="000C6DAD"/>
    <w:rsid w:val="000D79DD"/>
    <w:rsid w:val="00103845"/>
    <w:rsid w:val="001219EC"/>
    <w:rsid w:val="0012690B"/>
    <w:rsid w:val="001768D6"/>
    <w:rsid w:val="001C3BA6"/>
    <w:rsid w:val="001E2492"/>
    <w:rsid w:val="001F0CAE"/>
    <w:rsid w:val="00280311"/>
    <w:rsid w:val="00283F45"/>
    <w:rsid w:val="002A6015"/>
    <w:rsid w:val="003607A8"/>
    <w:rsid w:val="003817A6"/>
    <w:rsid w:val="003F1518"/>
    <w:rsid w:val="00474CD9"/>
    <w:rsid w:val="004A0FC0"/>
    <w:rsid w:val="004B7CEA"/>
    <w:rsid w:val="005B38DA"/>
    <w:rsid w:val="005E0F80"/>
    <w:rsid w:val="006064B1"/>
    <w:rsid w:val="00621462"/>
    <w:rsid w:val="007C6C9D"/>
    <w:rsid w:val="007F0B29"/>
    <w:rsid w:val="007F17D7"/>
    <w:rsid w:val="00852FF3"/>
    <w:rsid w:val="00893506"/>
    <w:rsid w:val="00897E96"/>
    <w:rsid w:val="008B26A4"/>
    <w:rsid w:val="008E6A8B"/>
    <w:rsid w:val="00924E36"/>
    <w:rsid w:val="009973F8"/>
    <w:rsid w:val="009E0BC1"/>
    <w:rsid w:val="009E32F2"/>
    <w:rsid w:val="009F2F12"/>
    <w:rsid w:val="00A207B5"/>
    <w:rsid w:val="00A431AF"/>
    <w:rsid w:val="00AD7BA9"/>
    <w:rsid w:val="00B02439"/>
    <w:rsid w:val="00B33B30"/>
    <w:rsid w:val="00B50DC7"/>
    <w:rsid w:val="00B737B3"/>
    <w:rsid w:val="00BE3B85"/>
    <w:rsid w:val="00C43CA9"/>
    <w:rsid w:val="00CD3585"/>
    <w:rsid w:val="00CE038D"/>
    <w:rsid w:val="00D571C4"/>
    <w:rsid w:val="00DB5A46"/>
    <w:rsid w:val="00E645F7"/>
    <w:rsid w:val="00E76A13"/>
    <w:rsid w:val="00EE2FEA"/>
    <w:rsid w:val="00F575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4F7CAB29"/>
  <w15:chartTrackingRefBased/>
  <w15:docId w15:val="{C6373751-84F7-854F-BF95-F948443C3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3F45"/>
    <w:pPr>
      <w:spacing w:after="160" w:line="259" w:lineRule="auto"/>
    </w:pPr>
    <w:rPr>
      <w:rFonts w:ascii="Times New Roman" w:eastAsia="Times New Roman" w:hAnsi="Times New Roman" w:cs="Times New Roman"/>
      <w:color w:val="000000"/>
      <w:sz w:val="27"/>
      <w:szCs w:val="27"/>
      <w:lang w:eastAsia="en-US"/>
    </w:rPr>
  </w:style>
  <w:style w:type="paragraph" w:styleId="Heading1">
    <w:name w:val="heading 1"/>
    <w:next w:val="Normal"/>
    <w:link w:val="Heading1Char"/>
    <w:uiPriority w:val="9"/>
    <w:qFormat/>
    <w:rsid w:val="00283F45"/>
    <w:pPr>
      <w:spacing w:after="160" w:line="276" w:lineRule="auto"/>
      <w:outlineLvl w:val="0"/>
    </w:pPr>
    <w:rPr>
      <w:b/>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next w:val="Normal"/>
    <w:link w:val="TitleChar"/>
    <w:uiPriority w:val="10"/>
    <w:qFormat/>
    <w:rsid w:val="00A207B5"/>
    <w:pPr>
      <w:spacing w:after="160" w:line="276" w:lineRule="auto"/>
      <w:jc w:val="center"/>
    </w:pPr>
    <w:rPr>
      <w:b/>
      <w:sz w:val="32"/>
      <w:szCs w:val="32"/>
      <w:lang w:eastAsia="en-US"/>
    </w:rPr>
  </w:style>
  <w:style w:type="character" w:customStyle="1" w:styleId="TitleChar">
    <w:name w:val="Title Char"/>
    <w:basedOn w:val="DefaultParagraphFont"/>
    <w:link w:val="Title"/>
    <w:uiPriority w:val="10"/>
    <w:rsid w:val="00A207B5"/>
    <w:rPr>
      <w:b/>
      <w:sz w:val="32"/>
      <w:szCs w:val="32"/>
      <w:lang w:eastAsia="en-US"/>
    </w:rPr>
  </w:style>
  <w:style w:type="character" w:customStyle="1" w:styleId="Heading1Char">
    <w:name w:val="Heading 1 Char"/>
    <w:basedOn w:val="DefaultParagraphFont"/>
    <w:link w:val="Heading1"/>
    <w:uiPriority w:val="9"/>
    <w:rsid w:val="00283F45"/>
    <w:rPr>
      <w:b/>
      <w:sz w:val="32"/>
      <w:szCs w:val="32"/>
      <w:lang w:eastAsia="en-US"/>
    </w:rPr>
  </w:style>
  <w:style w:type="paragraph" w:customStyle="1" w:styleId="TableContent">
    <w:name w:val="Table Content"/>
    <w:qFormat/>
    <w:rsid w:val="00A207B5"/>
    <w:pPr>
      <w:spacing w:before="100" w:beforeAutospacing="1" w:after="100" w:afterAutospacing="1"/>
    </w:pPr>
    <w:rPr>
      <w:rFonts w:ascii="Times New Roman" w:eastAsia="Times New Roman" w:hAnsi="Times New Roman" w:cs="Times New Roman"/>
      <w:lang w:eastAsia="en-US"/>
    </w:rPr>
  </w:style>
  <w:style w:type="paragraph" w:styleId="EndnoteText">
    <w:name w:val="endnote text"/>
    <w:basedOn w:val="Normal"/>
    <w:link w:val="EndnoteTextChar"/>
    <w:uiPriority w:val="99"/>
    <w:unhideWhenUsed/>
    <w:rsid w:val="00A207B5"/>
    <w:pPr>
      <w:spacing w:after="0" w:line="240" w:lineRule="auto"/>
    </w:pPr>
    <w:rPr>
      <w:sz w:val="20"/>
      <w:szCs w:val="20"/>
    </w:rPr>
  </w:style>
  <w:style w:type="character" w:customStyle="1" w:styleId="EndnoteTextChar">
    <w:name w:val="Endnote Text Char"/>
    <w:basedOn w:val="DefaultParagraphFont"/>
    <w:link w:val="EndnoteText"/>
    <w:uiPriority w:val="99"/>
    <w:rsid w:val="00A207B5"/>
    <w:rPr>
      <w:sz w:val="20"/>
      <w:szCs w:val="20"/>
      <w:lang w:eastAsia="en-US"/>
    </w:rPr>
  </w:style>
  <w:style w:type="character" w:styleId="EndnoteReference">
    <w:name w:val="endnote reference"/>
    <w:basedOn w:val="DefaultParagraphFont"/>
    <w:uiPriority w:val="99"/>
    <w:semiHidden/>
    <w:unhideWhenUsed/>
    <w:rsid w:val="00A207B5"/>
    <w:rPr>
      <w:vertAlign w:val="superscript"/>
    </w:rPr>
  </w:style>
  <w:style w:type="paragraph" w:styleId="NormalWeb">
    <w:name w:val="Normal (Web)"/>
    <w:basedOn w:val="Normal"/>
    <w:uiPriority w:val="99"/>
    <w:semiHidden/>
    <w:unhideWhenUsed/>
    <w:rsid w:val="00AD7BA9"/>
    <w:pPr>
      <w:spacing w:before="100" w:beforeAutospacing="1" w:after="100" w:afterAutospacing="1" w:line="240" w:lineRule="auto"/>
    </w:pPr>
    <w:rPr>
      <w:color w:val="auto"/>
      <w:sz w:val="24"/>
      <w:szCs w:val="24"/>
      <w:lang w:eastAsia="zh-CN"/>
    </w:rPr>
  </w:style>
  <w:style w:type="table" w:styleId="TableGrid">
    <w:name w:val="Table Grid"/>
    <w:basedOn w:val="TableNormal"/>
    <w:uiPriority w:val="39"/>
    <w:rsid w:val="005E0F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E0F8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53644">
      <w:bodyDiv w:val="1"/>
      <w:marLeft w:val="0"/>
      <w:marRight w:val="0"/>
      <w:marTop w:val="0"/>
      <w:marBottom w:val="0"/>
      <w:divBdr>
        <w:top w:val="none" w:sz="0" w:space="0" w:color="auto"/>
        <w:left w:val="none" w:sz="0" w:space="0" w:color="auto"/>
        <w:bottom w:val="none" w:sz="0" w:space="0" w:color="auto"/>
        <w:right w:val="none" w:sz="0" w:space="0" w:color="auto"/>
      </w:divBdr>
    </w:div>
    <w:div w:id="397627571">
      <w:bodyDiv w:val="1"/>
      <w:marLeft w:val="0"/>
      <w:marRight w:val="0"/>
      <w:marTop w:val="0"/>
      <w:marBottom w:val="0"/>
      <w:divBdr>
        <w:top w:val="none" w:sz="0" w:space="0" w:color="auto"/>
        <w:left w:val="none" w:sz="0" w:space="0" w:color="auto"/>
        <w:bottom w:val="none" w:sz="0" w:space="0" w:color="auto"/>
        <w:right w:val="none" w:sz="0" w:space="0" w:color="auto"/>
      </w:divBdr>
    </w:div>
    <w:div w:id="559023976">
      <w:bodyDiv w:val="1"/>
      <w:marLeft w:val="0"/>
      <w:marRight w:val="0"/>
      <w:marTop w:val="0"/>
      <w:marBottom w:val="0"/>
      <w:divBdr>
        <w:top w:val="none" w:sz="0" w:space="0" w:color="auto"/>
        <w:left w:val="none" w:sz="0" w:space="0" w:color="auto"/>
        <w:bottom w:val="none" w:sz="0" w:space="0" w:color="auto"/>
        <w:right w:val="none" w:sz="0" w:space="0" w:color="auto"/>
      </w:divBdr>
    </w:div>
    <w:div w:id="670450938">
      <w:bodyDiv w:val="1"/>
      <w:marLeft w:val="0"/>
      <w:marRight w:val="0"/>
      <w:marTop w:val="0"/>
      <w:marBottom w:val="0"/>
      <w:divBdr>
        <w:top w:val="none" w:sz="0" w:space="0" w:color="auto"/>
        <w:left w:val="none" w:sz="0" w:space="0" w:color="auto"/>
        <w:bottom w:val="none" w:sz="0" w:space="0" w:color="auto"/>
        <w:right w:val="none" w:sz="0" w:space="0" w:color="auto"/>
      </w:divBdr>
    </w:div>
    <w:div w:id="799029463">
      <w:bodyDiv w:val="1"/>
      <w:marLeft w:val="0"/>
      <w:marRight w:val="0"/>
      <w:marTop w:val="0"/>
      <w:marBottom w:val="0"/>
      <w:divBdr>
        <w:top w:val="none" w:sz="0" w:space="0" w:color="auto"/>
        <w:left w:val="none" w:sz="0" w:space="0" w:color="auto"/>
        <w:bottom w:val="none" w:sz="0" w:space="0" w:color="auto"/>
        <w:right w:val="none" w:sz="0" w:space="0" w:color="auto"/>
      </w:divBdr>
    </w:div>
    <w:div w:id="1077753286">
      <w:bodyDiv w:val="1"/>
      <w:marLeft w:val="0"/>
      <w:marRight w:val="0"/>
      <w:marTop w:val="0"/>
      <w:marBottom w:val="0"/>
      <w:divBdr>
        <w:top w:val="none" w:sz="0" w:space="0" w:color="auto"/>
        <w:left w:val="none" w:sz="0" w:space="0" w:color="auto"/>
        <w:bottom w:val="none" w:sz="0" w:space="0" w:color="auto"/>
        <w:right w:val="none" w:sz="0" w:space="0" w:color="auto"/>
      </w:divBdr>
    </w:div>
    <w:div w:id="127868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yifan/Library/Group%20Containers/UBF8T346G9.Office/User%20Content.localized/Templates.localized/webmodu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webmodules.dotx</Template>
  <TotalTime>8</TotalTime>
  <Pages>5</Pages>
  <Words>987</Words>
  <Characters>5630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 Yifan</dc:creator>
  <cp:keywords/>
  <dc:description/>
  <cp:lastModifiedBy>Gu Yifan</cp:lastModifiedBy>
  <cp:revision>43</cp:revision>
  <dcterms:created xsi:type="dcterms:W3CDTF">2018-12-31T01:48:00Z</dcterms:created>
  <dcterms:modified xsi:type="dcterms:W3CDTF">2019-02-04T05:04:00Z</dcterms:modified>
</cp:coreProperties>
</file>