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226B3" w14:textId="77777777" w:rsidR="00A207B5" w:rsidRPr="00A207B5" w:rsidRDefault="000D1B0F" w:rsidP="00A207B5">
      <w:pPr>
        <w:pStyle w:val="Title"/>
      </w:pPr>
      <w:r w:rsidRPr="000D1B0F">
        <w:t>Type II Functional Response</w:t>
      </w:r>
      <w:r>
        <w:t xml:space="preserve">: </w:t>
      </w:r>
      <w:proofErr w:type="spellStart"/>
      <w:r>
        <w:t>Holling’s</w:t>
      </w:r>
      <w:proofErr w:type="spellEnd"/>
      <w:r>
        <w:t xml:space="preserve"> Disk Equation</w:t>
      </w:r>
    </w:p>
    <w:p w14:paraId="5D937D6A" w14:textId="77777777" w:rsidR="00A207B5" w:rsidRDefault="00A207B5" w:rsidP="00283F45">
      <w:pPr>
        <w:pStyle w:val="Heading1"/>
      </w:pPr>
      <w:r w:rsidRPr="00283F45">
        <w:t>Introduction</w:t>
      </w:r>
    </w:p>
    <w:p w14:paraId="7E3F23EB" w14:textId="059BB609" w:rsidR="008E6A8B" w:rsidRPr="000F039B" w:rsidRDefault="000F039B" w:rsidP="008E6A8B">
      <w:pPr>
        <w:rPr>
          <w:color w:val="auto"/>
          <w:sz w:val="24"/>
          <w:szCs w:val="24"/>
          <w:lang w:eastAsia="zh-CN"/>
        </w:rPr>
      </w:pPr>
      <w:r w:rsidRPr="000F039B">
        <w:rPr>
          <w:shd w:val="clear" w:color="auto" w:fill="FFFFFF"/>
          <w:lang w:eastAsia="zh-CN"/>
        </w:rPr>
        <w:t>In the type II functional response, the rate of prey consumption by a predator rises as prey density increases, but eventually levels off at a plateau (or asymptote) at which the rate of consumption remains constant regardless of increases in prey density (see also</w:t>
      </w:r>
      <w:r>
        <w:rPr>
          <w:shd w:val="clear" w:color="auto" w:fill="FFFFFF"/>
          <w:lang w:eastAsia="zh-CN"/>
        </w:rPr>
        <w:t xml:space="preserve"> </w:t>
      </w:r>
      <w:hyperlink r:id="rId6" w:history="1">
        <w:r w:rsidRPr="000F039B">
          <w:rPr>
            <w:color w:val="0000FF"/>
            <w:u w:val="single"/>
            <w:shd w:val="clear" w:color="auto" w:fill="FFFFFF"/>
            <w:lang w:eastAsia="zh-CN"/>
          </w:rPr>
          <w:t>TYPE I</w:t>
        </w:r>
      </w:hyperlink>
      <w:r>
        <w:rPr>
          <w:shd w:val="clear" w:color="auto" w:fill="FFFFFF"/>
          <w:lang w:eastAsia="zh-CN"/>
        </w:rPr>
        <w:t xml:space="preserve"> </w:t>
      </w:r>
      <w:r w:rsidRPr="000F039B">
        <w:rPr>
          <w:shd w:val="clear" w:color="auto" w:fill="FFFFFF"/>
          <w:lang w:eastAsia="zh-CN"/>
        </w:rPr>
        <w:t xml:space="preserve">and </w:t>
      </w:r>
      <w:hyperlink r:id="rId7" w:history="1">
        <w:r w:rsidRPr="004957E5">
          <w:rPr>
            <w:rStyle w:val="Hyperlink"/>
            <w:shd w:val="clear" w:color="auto" w:fill="FFFFFF"/>
            <w:lang w:eastAsia="zh-CN"/>
          </w:rPr>
          <w:t>TYPE III FUNCTIONAL RESPONSE</w:t>
        </w:r>
      </w:hyperlink>
      <w:r w:rsidRPr="000F039B">
        <w:rPr>
          <w:shd w:val="clear" w:color="auto" w:fill="FFFFFF"/>
          <w:lang w:eastAsia="zh-CN"/>
        </w:rPr>
        <w:t xml:space="preserve">). </w:t>
      </w:r>
      <w:proofErr w:type="spellStart"/>
      <w:r w:rsidRPr="000F039B">
        <w:rPr>
          <w:shd w:val="clear" w:color="auto" w:fill="FFFFFF"/>
          <w:lang w:eastAsia="zh-CN"/>
        </w:rPr>
        <w:t>Holling's</w:t>
      </w:r>
      <w:proofErr w:type="spellEnd"/>
      <w:r w:rsidRPr="000F039B">
        <w:rPr>
          <w:shd w:val="clear" w:color="auto" w:fill="FFFFFF"/>
          <w:lang w:eastAsia="zh-CN"/>
        </w:rPr>
        <w:t xml:space="preserve"> disk equation, named after experiments he performed in which a blindfolded assistant picked up sandpaper disks from a table, describes the type II functional response.</w:t>
      </w:r>
    </w:p>
    <w:p w14:paraId="5751FB76" w14:textId="77777777" w:rsidR="00283F45" w:rsidRDefault="00283F45" w:rsidP="00283F45">
      <w:pPr>
        <w:pStyle w:val="Heading1"/>
      </w:pPr>
      <w:r w:rsidRPr="00283F45">
        <w:t>Importance</w:t>
      </w:r>
    </w:p>
    <w:p w14:paraId="7F28B8E7" w14:textId="77777777" w:rsidR="008E6A8B" w:rsidRPr="008E6A8B" w:rsidRDefault="0024398E" w:rsidP="008E6A8B">
      <w:r w:rsidRPr="0024398E">
        <w:t>A consumer's functional response to changes in food density is an important component of population regulation. The type II response is the most common type of functional response and is well documented in empirical studies.</w:t>
      </w:r>
    </w:p>
    <w:p w14:paraId="584A6A5B" w14:textId="77777777" w:rsidR="00283F45" w:rsidRDefault="00283F45" w:rsidP="00283F45">
      <w:pPr>
        <w:pStyle w:val="Heading1"/>
      </w:pPr>
      <w:r>
        <w:t>Questions</w:t>
      </w:r>
    </w:p>
    <w:p w14:paraId="39DF0963" w14:textId="77777777" w:rsidR="008E6A8B" w:rsidRPr="008E6A8B" w:rsidRDefault="0024398E" w:rsidP="008E6A8B">
      <w:r w:rsidRPr="0024398E">
        <w:t>Why does the functional response reach a plateau? What variable determines the level of the plateau?</w:t>
      </w:r>
    </w:p>
    <w:p w14:paraId="3C77FD1F" w14:textId="77777777" w:rsidR="0024398E" w:rsidRPr="0024398E" w:rsidRDefault="00283F45" w:rsidP="0024398E">
      <w:pPr>
        <w:pStyle w:val="Heading1"/>
      </w:pPr>
      <w:r>
        <w:t>Variables</w:t>
      </w:r>
    </w:p>
    <w:tbl>
      <w:tblPr>
        <w:tblW w:w="38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510"/>
        <w:gridCol w:w="3375"/>
      </w:tblGrid>
      <w:tr w:rsidR="0024398E" w:rsidRPr="0024398E" w14:paraId="17A6BA22" w14:textId="77777777" w:rsidTr="0024398E">
        <w:trPr>
          <w:trHeight w:val="320"/>
          <w:tblCellSpacing w:w="15" w:type="dxa"/>
        </w:trPr>
        <w:tc>
          <w:tcPr>
            <w:tcW w:w="550" w:type="pct"/>
            <w:shd w:val="clear" w:color="auto" w:fill="FFFFFF"/>
            <w:hideMark/>
          </w:tcPr>
          <w:p w14:paraId="62366627" w14:textId="77777777" w:rsidR="0024398E" w:rsidRPr="0024398E" w:rsidRDefault="0024398E" w:rsidP="0024398E">
            <w:pPr>
              <w:pStyle w:val="TableContent"/>
              <w:rPr>
                <w:lang w:eastAsia="zh-CN"/>
              </w:rPr>
            </w:pPr>
            <w:r w:rsidRPr="0024398E">
              <w:rPr>
                <w:lang w:eastAsia="zh-CN"/>
              </w:rPr>
              <w:t>N</w:t>
            </w:r>
            <w:r w:rsidRPr="0024398E">
              <w:rPr>
                <w:vertAlign w:val="subscript"/>
                <w:lang w:eastAsia="zh-CN"/>
              </w:rPr>
              <w:t>a</w:t>
            </w:r>
          </w:p>
        </w:tc>
        <w:tc>
          <w:tcPr>
            <w:tcW w:w="4450" w:type="pct"/>
            <w:shd w:val="clear" w:color="auto" w:fill="FFFFFF"/>
            <w:hideMark/>
          </w:tcPr>
          <w:p w14:paraId="5BF9C27A" w14:textId="77777777" w:rsidR="0024398E" w:rsidRPr="0024398E" w:rsidRDefault="0024398E" w:rsidP="0024398E">
            <w:pPr>
              <w:pStyle w:val="TableContent"/>
              <w:rPr>
                <w:lang w:eastAsia="zh-CN"/>
              </w:rPr>
            </w:pPr>
            <w:r w:rsidRPr="0024398E">
              <w:rPr>
                <w:lang w:eastAsia="zh-CN"/>
              </w:rPr>
              <w:t>number of prey items attacked</w:t>
            </w:r>
          </w:p>
        </w:tc>
      </w:tr>
      <w:tr w:rsidR="0024398E" w:rsidRPr="0024398E" w14:paraId="3F76A195" w14:textId="77777777" w:rsidTr="0024398E">
        <w:trPr>
          <w:trHeight w:val="320"/>
          <w:tblCellSpacing w:w="15" w:type="dxa"/>
        </w:trPr>
        <w:tc>
          <w:tcPr>
            <w:tcW w:w="550" w:type="pct"/>
            <w:shd w:val="clear" w:color="auto" w:fill="FFFFFF"/>
            <w:hideMark/>
          </w:tcPr>
          <w:p w14:paraId="723F6ED5" w14:textId="77777777" w:rsidR="0024398E" w:rsidRPr="0024398E" w:rsidRDefault="0024398E" w:rsidP="0024398E">
            <w:pPr>
              <w:pStyle w:val="TableContent"/>
              <w:rPr>
                <w:lang w:eastAsia="zh-CN"/>
              </w:rPr>
            </w:pPr>
            <w:r>
              <w:rPr>
                <w:lang w:eastAsia="zh-CN"/>
              </w:rPr>
              <w:t>a’</w:t>
            </w:r>
          </w:p>
        </w:tc>
        <w:tc>
          <w:tcPr>
            <w:tcW w:w="4450" w:type="pct"/>
            <w:shd w:val="clear" w:color="auto" w:fill="FFFFFF"/>
            <w:hideMark/>
          </w:tcPr>
          <w:p w14:paraId="068BE256" w14:textId="77777777" w:rsidR="0024398E" w:rsidRPr="0024398E" w:rsidRDefault="0024398E" w:rsidP="0024398E">
            <w:pPr>
              <w:pStyle w:val="TableContent"/>
              <w:rPr>
                <w:lang w:eastAsia="zh-CN"/>
              </w:rPr>
            </w:pPr>
            <w:r w:rsidRPr="0024398E">
              <w:rPr>
                <w:lang w:eastAsia="zh-CN"/>
              </w:rPr>
              <w:t>"attack rate" (searching efficiency)</w:t>
            </w:r>
          </w:p>
        </w:tc>
      </w:tr>
      <w:tr w:rsidR="0024398E" w:rsidRPr="0024398E" w14:paraId="7AFF263B" w14:textId="77777777" w:rsidTr="0024398E">
        <w:trPr>
          <w:trHeight w:val="320"/>
          <w:tblCellSpacing w:w="15" w:type="dxa"/>
        </w:trPr>
        <w:tc>
          <w:tcPr>
            <w:tcW w:w="550" w:type="pct"/>
            <w:shd w:val="clear" w:color="auto" w:fill="FFFFFF"/>
            <w:hideMark/>
          </w:tcPr>
          <w:p w14:paraId="4521AEA4" w14:textId="77777777" w:rsidR="0024398E" w:rsidRPr="0024398E" w:rsidRDefault="0024398E" w:rsidP="0024398E">
            <w:pPr>
              <w:pStyle w:val="TableContent"/>
              <w:rPr>
                <w:lang w:eastAsia="zh-CN"/>
              </w:rPr>
            </w:pPr>
            <w:r w:rsidRPr="0024398E">
              <w:rPr>
                <w:lang w:eastAsia="zh-CN"/>
              </w:rPr>
              <w:t>N</w:t>
            </w:r>
          </w:p>
        </w:tc>
        <w:tc>
          <w:tcPr>
            <w:tcW w:w="4450" w:type="pct"/>
            <w:shd w:val="clear" w:color="auto" w:fill="FFFFFF"/>
            <w:hideMark/>
          </w:tcPr>
          <w:p w14:paraId="3835976E" w14:textId="77777777" w:rsidR="0024398E" w:rsidRPr="0024398E" w:rsidRDefault="0024398E" w:rsidP="0024398E">
            <w:pPr>
              <w:pStyle w:val="TableContent"/>
              <w:rPr>
                <w:lang w:eastAsia="zh-CN"/>
              </w:rPr>
            </w:pPr>
            <w:r w:rsidRPr="0024398E">
              <w:rPr>
                <w:lang w:eastAsia="zh-CN"/>
              </w:rPr>
              <w:t>prey density</w:t>
            </w:r>
          </w:p>
        </w:tc>
      </w:tr>
      <w:tr w:rsidR="0024398E" w:rsidRPr="0024398E" w14:paraId="1F3B0AE3" w14:textId="77777777" w:rsidTr="0024398E">
        <w:trPr>
          <w:trHeight w:val="320"/>
          <w:tblCellSpacing w:w="15" w:type="dxa"/>
        </w:trPr>
        <w:tc>
          <w:tcPr>
            <w:tcW w:w="550" w:type="pct"/>
            <w:shd w:val="clear" w:color="auto" w:fill="FFFFFF"/>
            <w:hideMark/>
          </w:tcPr>
          <w:p w14:paraId="296AAC62" w14:textId="77777777" w:rsidR="0024398E" w:rsidRPr="0024398E" w:rsidRDefault="0024398E" w:rsidP="0024398E">
            <w:pPr>
              <w:pStyle w:val="TableContent"/>
              <w:rPr>
                <w:lang w:eastAsia="zh-CN"/>
              </w:rPr>
            </w:pPr>
            <w:r w:rsidRPr="0024398E">
              <w:rPr>
                <w:lang w:eastAsia="zh-CN"/>
              </w:rPr>
              <w:t>P</w:t>
            </w:r>
          </w:p>
        </w:tc>
        <w:tc>
          <w:tcPr>
            <w:tcW w:w="4450" w:type="pct"/>
            <w:shd w:val="clear" w:color="auto" w:fill="FFFFFF"/>
            <w:hideMark/>
          </w:tcPr>
          <w:p w14:paraId="7C63E452" w14:textId="77777777" w:rsidR="0024398E" w:rsidRPr="0024398E" w:rsidRDefault="0024398E" w:rsidP="0024398E">
            <w:pPr>
              <w:pStyle w:val="TableContent"/>
              <w:rPr>
                <w:lang w:eastAsia="zh-CN"/>
              </w:rPr>
            </w:pPr>
            <w:r w:rsidRPr="0024398E">
              <w:rPr>
                <w:lang w:eastAsia="zh-CN"/>
              </w:rPr>
              <w:t>predator density (usually one in experiments)</w:t>
            </w:r>
          </w:p>
        </w:tc>
      </w:tr>
      <w:tr w:rsidR="0024398E" w:rsidRPr="0024398E" w14:paraId="79195DDA" w14:textId="77777777" w:rsidTr="0024398E">
        <w:trPr>
          <w:trHeight w:val="320"/>
          <w:tblCellSpacing w:w="15" w:type="dxa"/>
        </w:trPr>
        <w:tc>
          <w:tcPr>
            <w:tcW w:w="550" w:type="pct"/>
            <w:shd w:val="clear" w:color="auto" w:fill="FFFFFF"/>
            <w:hideMark/>
          </w:tcPr>
          <w:p w14:paraId="371D6BED" w14:textId="77777777" w:rsidR="0024398E" w:rsidRPr="0024398E" w:rsidRDefault="0024398E" w:rsidP="0024398E">
            <w:pPr>
              <w:pStyle w:val="TableContent"/>
              <w:rPr>
                <w:lang w:eastAsia="zh-CN"/>
              </w:rPr>
            </w:pPr>
            <w:r w:rsidRPr="0024398E">
              <w:rPr>
                <w:lang w:eastAsia="zh-CN"/>
              </w:rPr>
              <w:t>T</w:t>
            </w:r>
          </w:p>
        </w:tc>
        <w:tc>
          <w:tcPr>
            <w:tcW w:w="4450" w:type="pct"/>
            <w:shd w:val="clear" w:color="auto" w:fill="FFFFFF"/>
            <w:hideMark/>
          </w:tcPr>
          <w:p w14:paraId="7EC2252E" w14:textId="77777777" w:rsidR="0024398E" w:rsidRPr="0024398E" w:rsidRDefault="0024398E" w:rsidP="0024398E">
            <w:pPr>
              <w:pStyle w:val="TableContent"/>
              <w:rPr>
                <w:lang w:eastAsia="zh-CN"/>
              </w:rPr>
            </w:pPr>
            <w:r w:rsidRPr="0024398E">
              <w:rPr>
                <w:lang w:eastAsia="zh-CN"/>
              </w:rPr>
              <w:t>total available searching time</w:t>
            </w:r>
          </w:p>
        </w:tc>
      </w:tr>
      <w:tr w:rsidR="0024398E" w:rsidRPr="0024398E" w14:paraId="128B386E" w14:textId="77777777" w:rsidTr="0024398E">
        <w:trPr>
          <w:trHeight w:val="320"/>
          <w:tblCellSpacing w:w="15" w:type="dxa"/>
        </w:trPr>
        <w:tc>
          <w:tcPr>
            <w:tcW w:w="550" w:type="pct"/>
            <w:shd w:val="clear" w:color="auto" w:fill="FFFFFF"/>
            <w:hideMark/>
          </w:tcPr>
          <w:p w14:paraId="5D32760B" w14:textId="77777777" w:rsidR="0024398E" w:rsidRPr="0024398E" w:rsidRDefault="0024398E" w:rsidP="0024398E">
            <w:pPr>
              <w:pStyle w:val="TableContent"/>
              <w:rPr>
                <w:lang w:eastAsia="zh-CN"/>
              </w:rPr>
            </w:pPr>
            <w:r w:rsidRPr="0024398E">
              <w:rPr>
                <w:lang w:eastAsia="zh-CN"/>
              </w:rPr>
              <w:t>T</w:t>
            </w:r>
            <w:r w:rsidRPr="0024398E">
              <w:rPr>
                <w:vertAlign w:val="subscript"/>
                <w:lang w:eastAsia="zh-CN"/>
              </w:rPr>
              <w:t>h</w:t>
            </w:r>
          </w:p>
        </w:tc>
        <w:tc>
          <w:tcPr>
            <w:tcW w:w="4450" w:type="pct"/>
            <w:shd w:val="clear" w:color="auto" w:fill="FFFFFF"/>
            <w:hideMark/>
          </w:tcPr>
          <w:p w14:paraId="73E77BF4" w14:textId="77777777" w:rsidR="0024398E" w:rsidRPr="0024398E" w:rsidRDefault="0024398E" w:rsidP="0024398E">
            <w:pPr>
              <w:pStyle w:val="TableContent"/>
              <w:rPr>
                <w:lang w:eastAsia="zh-CN"/>
              </w:rPr>
            </w:pPr>
            <w:r w:rsidRPr="0024398E">
              <w:rPr>
                <w:lang w:eastAsia="zh-CN"/>
              </w:rPr>
              <w:t>handling time</w:t>
            </w:r>
          </w:p>
        </w:tc>
      </w:tr>
    </w:tbl>
    <w:p w14:paraId="02007FF3" w14:textId="77777777" w:rsidR="008E6A8B" w:rsidRPr="008E6A8B" w:rsidRDefault="008E6A8B" w:rsidP="008E6A8B"/>
    <w:p w14:paraId="6839324A" w14:textId="77777777" w:rsidR="00283F45" w:rsidRDefault="00283F45" w:rsidP="00283F45">
      <w:pPr>
        <w:pStyle w:val="Heading1"/>
      </w:pPr>
      <w:r>
        <w:t>Methods</w:t>
      </w:r>
    </w:p>
    <w:p w14:paraId="754B36BF" w14:textId="77777777" w:rsidR="00B30DEF" w:rsidRDefault="00B30DEF" w:rsidP="00B30DEF">
      <w:proofErr w:type="spellStart"/>
      <w:r>
        <w:t>Holling's</w:t>
      </w:r>
      <w:proofErr w:type="spellEnd"/>
      <w:r>
        <w:t xml:space="preserve"> disk equation models the relationship between the number of prey items eaten during a period of time and prey density.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30DEF" w14:paraId="0FF1515B" w14:textId="77777777" w:rsidTr="00373D4C">
        <w:tc>
          <w:tcPr>
            <w:tcW w:w="4675" w:type="dxa"/>
            <w:vAlign w:val="center"/>
          </w:tcPr>
          <w:p w14:paraId="61802383" w14:textId="77777777" w:rsidR="00B30DEF" w:rsidRDefault="006F6CAE" w:rsidP="00373D4C">
            <w:pPr>
              <w:rPr>
                <w:lang w:eastAsia="zh-CN"/>
              </w:rPr>
            </w:pPr>
            <m:oMathPara>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a</m:t>
                    </m:r>
                  </m:sub>
                </m:sSub>
                <m:r>
                  <w:rPr>
                    <w:rFonts w:ascii="Cambria Math" w:hAnsi="Cambria Math"/>
                    <w:lang w:eastAsia="zh-CN"/>
                  </w:rPr>
                  <m:t>=</m:t>
                </m:r>
                <m:f>
                  <m:fPr>
                    <m:ctrlPr>
                      <w:rPr>
                        <w:rFonts w:ascii="Cambria Math" w:hAnsi="Cambria Math"/>
                        <w:i/>
                        <w:lang w:eastAsia="zh-CN"/>
                      </w:rPr>
                    </m:ctrlPr>
                  </m:fPr>
                  <m:num>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m:t>
                        </m:r>
                      </m:sup>
                    </m:sSup>
                    <m:r>
                      <w:rPr>
                        <w:rFonts w:ascii="Cambria Math" w:hAnsi="Cambria Math"/>
                        <w:lang w:eastAsia="zh-CN"/>
                      </w:rPr>
                      <m:t>TNP</m:t>
                    </m:r>
                  </m:num>
                  <m:den>
                    <m:r>
                      <w:rPr>
                        <w:rFonts w:ascii="Cambria Math" w:hAnsi="Cambria Math"/>
                        <w:lang w:eastAsia="zh-CN"/>
                      </w:rPr>
                      <m:t>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m:t>
                        </m:r>
                      </m:sup>
                    </m:sSup>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b</m:t>
                        </m:r>
                      </m:sub>
                    </m:sSub>
                    <m:r>
                      <w:rPr>
                        <w:rFonts w:ascii="Cambria Math" w:hAnsi="Cambria Math"/>
                        <w:lang w:eastAsia="zh-CN"/>
                      </w:rPr>
                      <m:t>N</m:t>
                    </m:r>
                  </m:den>
                </m:f>
              </m:oMath>
            </m:oMathPara>
          </w:p>
        </w:tc>
        <w:tc>
          <w:tcPr>
            <w:tcW w:w="4675" w:type="dxa"/>
            <w:vAlign w:val="center"/>
          </w:tcPr>
          <w:p w14:paraId="0BDF489C" w14:textId="77777777" w:rsidR="00B30DEF" w:rsidRDefault="00B30DEF" w:rsidP="00373D4C">
            <w:pPr>
              <w:rPr>
                <w:lang w:eastAsia="zh-CN"/>
              </w:rPr>
            </w:pPr>
            <w:r>
              <w:rPr>
                <w:lang w:eastAsia="zh-CN"/>
              </w:rPr>
              <w:t xml:space="preserve">LaTeX Code: </w:t>
            </w:r>
            <w:proofErr w:type="gramStart"/>
            <w:r>
              <w:rPr>
                <w:lang w:eastAsia="zh-CN"/>
              </w:rPr>
              <w:t>\[</w:t>
            </w:r>
            <w:proofErr w:type="gramEnd"/>
            <w:r>
              <w:rPr>
                <w:lang w:eastAsia="zh-CN"/>
              </w:rPr>
              <w:t xml:space="preserve"> </w:t>
            </w:r>
            <w:proofErr w:type="spellStart"/>
            <w:r>
              <w:rPr>
                <w:lang w:eastAsia="zh-CN"/>
              </w:rPr>
              <w:t>N_a</w:t>
            </w:r>
            <w:proofErr w:type="spellEnd"/>
            <w:r>
              <w:rPr>
                <w:lang w:eastAsia="zh-CN"/>
              </w:rPr>
              <w:t xml:space="preserve"> = \frac{</w:t>
            </w:r>
            <w:proofErr w:type="spellStart"/>
            <w:r>
              <w:rPr>
                <w:lang w:eastAsia="zh-CN"/>
              </w:rPr>
              <w:t>a’TNP</w:t>
            </w:r>
            <w:proofErr w:type="spellEnd"/>
            <w:r>
              <w:rPr>
                <w:lang w:eastAsia="zh-CN"/>
              </w:rPr>
              <w:t xml:space="preserve">}{1 + </w:t>
            </w:r>
            <w:proofErr w:type="spellStart"/>
            <w:r>
              <w:rPr>
                <w:lang w:eastAsia="zh-CN"/>
              </w:rPr>
              <w:t>a’T_bN</w:t>
            </w:r>
            <w:proofErr w:type="spellEnd"/>
            <w:r>
              <w:rPr>
                <w:lang w:eastAsia="zh-CN"/>
              </w:rPr>
              <w:t>} \]</w:t>
            </w:r>
          </w:p>
        </w:tc>
      </w:tr>
    </w:tbl>
    <w:p w14:paraId="37CACAE1" w14:textId="77777777" w:rsidR="00B30DEF" w:rsidRDefault="00B30DEF" w:rsidP="00B30DEF">
      <w:r>
        <w:rPr>
          <w:i/>
          <w:iCs/>
        </w:rPr>
        <w:t>N</w:t>
      </w:r>
      <w:r>
        <w:rPr>
          <w:i/>
          <w:iCs/>
          <w:vertAlign w:val="subscript"/>
        </w:rPr>
        <w:t>a</w:t>
      </w:r>
      <w:r w:rsidR="00373D4C">
        <w:t xml:space="preserve"> </w:t>
      </w:r>
      <w:r>
        <w:t>increases with the total time (</w:t>
      </w:r>
      <w:r>
        <w:rPr>
          <w:i/>
          <w:iCs/>
        </w:rPr>
        <w:t>T</w:t>
      </w:r>
      <w:r>
        <w:t>), prey density (</w:t>
      </w:r>
      <w:r>
        <w:rPr>
          <w:i/>
          <w:iCs/>
        </w:rPr>
        <w:t>N</w:t>
      </w:r>
      <w:r>
        <w:t>), and/or attack rate (</w:t>
      </w:r>
      <w:proofErr w:type="spellStart"/>
      <w:r>
        <w:rPr>
          <w:i/>
          <w:iCs/>
        </w:rPr>
        <w:t>aí</w:t>
      </w:r>
      <w:proofErr w:type="spellEnd"/>
      <w:r>
        <w:t>), but decreases as handling time (</w:t>
      </w:r>
      <w:r>
        <w:rPr>
          <w:i/>
          <w:iCs/>
        </w:rPr>
        <w:t>T</w:t>
      </w:r>
      <w:r>
        <w:rPr>
          <w:i/>
          <w:iCs/>
          <w:vertAlign w:val="subscript"/>
        </w:rPr>
        <w:t>h</w:t>
      </w:r>
      <w:r>
        <w:t>) increases. Handling time is defined as the time spent pursuing, subduing, and consuming each prey item</w:t>
      </w:r>
      <w:r w:rsidR="00C33A2A">
        <w:t xml:space="preserve"> </w:t>
      </w:r>
      <w:r>
        <w:rPr>
          <w:i/>
          <w:iCs/>
        </w:rPr>
        <w:t>plus</w:t>
      </w:r>
      <w:r w:rsidR="00C33A2A">
        <w:rPr>
          <w:i/>
          <w:iCs/>
        </w:rPr>
        <w:t xml:space="preserve"> </w:t>
      </w:r>
      <w:r>
        <w:t>the time spent preparing to search for the next prey item (including effects of satiation).</w:t>
      </w:r>
    </w:p>
    <w:p w14:paraId="79D5E3C4" w14:textId="77777777" w:rsidR="00B30DEF" w:rsidRDefault="00B30DEF" w:rsidP="00B30DEF">
      <w:proofErr w:type="spellStart"/>
      <w:r>
        <w:t>Wiedenmann</w:t>
      </w:r>
      <w:proofErr w:type="spellEnd"/>
      <w:r>
        <w:t xml:space="preserve"> &amp; O</w:t>
      </w:r>
      <w:r w:rsidR="00081CAE">
        <w:t>’</w:t>
      </w:r>
      <w:r>
        <w:t>Neil conducted laboratory experiments to measure the functional response of the predatory stinkbug</w:t>
      </w:r>
      <w:r w:rsidR="00EE299D">
        <w:t xml:space="preserve"> </w:t>
      </w:r>
      <w:proofErr w:type="spellStart"/>
      <w:r>
        <w:rPr>
          <w:i/>
          <w:iCs/>
        </w:rPr>
        <w:t>Podisus</w:t>
      </w:r>
      <w:proofErr w:type="spellEnd"/>
      <w:r>
        <w:rPr>
          <w:i/>
          <w:iCs/>
        </w:rPr>
        <w:t xml:space="preserve"> </w:t>
      </w:r>
      <w:proofErr w:type="spellStart"/>
      <w:r>
        <w:rPr>
          <w:i/>
          <w:iCs/>
        </w:rPr>
        <w:t>maculiventris</w:t>
      </w:r>
      <w:proofErr w:type="spellEnd"/>
      <w:r w:rsidR="00EE299D">
        <w:rPr>
          <w:i/>
          <w:iCs/>
        </w:rPr>
        <w:t xml:space="preserve"> </w:t>
      </w:r>
      <w:r>
        <w:t>(</w:t>
      </w:r>
      <w:proofErr w:type="spellStart"/>
      <w:r>
        <w:t>Heteroptera</w:t>
      </w:r>
      <w:proofErr w:type="spellEnd"/>
      <w:r>
        <w:t>) when exposed to six different densities of larvae of the Mexican bean beetle (</w:t>
      </w:r>
      <w:proofErr w:type="spellStart"/>
      <w:r>
        <w:rPr>
          <w:i/>
          <w:iCs/>
        </w:rPr>
        <w:t>Epilachna</w:t>
      </w:r>
      <w:proofErr w:type="spellEnd"/>
      <w:r>
        <w:rPr>
          <w:i/>
          <w:iCs/>
        </w:rPr>
        <w:t xml:space="preserve"> </w:t>
      </w:r>
      <w:proofErr w:type="spellStart"/>
      <w:r>
        <w:rPr>
          <w:i/>
          <w:iCs/>
        </w:rPr>
        <w:t>varivestis</w:t>
      </w:r>
      <w:proofErr w:type="spellEnd"/>
      <w:r>
        <w:t>). Although</w:t>
      </w:r>
      <w:r w:rsidR="00392950">
        <w:t xml:space="preserve"> </w:t>
      </w:r>
      <w:r>
        <w:rPr>
          <w:i/>
          <w:iCs/>
        </w:rPr>
        <w:t xml:space="preserve">P. </w:t>
      </w:r>
      <w:proofErr w:type="spellStart"/>
      <w:r>
        <w:rPr>
          <w:i/>
          <w:iCs/>
        </w:rPr>
        <w:t>maculiventris</w:t>
      </w:r>
      <w:proofErr w:type="spellEnd"/>
      <w:r w:rsidR="005C7BFE">
        <w:t xml:space="preserve"> </w:t>
      </w:r>
      <w:r>
        <w:t>exhibited a type II functional response, predation rates measured in the laboratory differed noticeably from those measured in the field.</w:t>
      </w:r>
    </w:p>
    <w:p w14:paraId="1D8FC1BA" w14:textId="77777777" w:rsidR="00B30DEF" w:rsidRDefault="00B30DEF" w:rsidP="00B30DEF">
      <w:r>
        <w:t>We can graph the observed number of Mexican bean beetles attacked by</w:t>
      </w:r>
      <w:r w:rsidR="00392950">
        <w:t xml:space="preserve"> </w:t>
      </w:r>
      <w:r>
        <w:rPr>
          <w:i/>
          <w:iCs/>
        </w:rPr>
        <w:t xml:space="preserve">P. </w:t>
      </w:r>
      <w:proofErr w:type="spellStart"/>
      <w:r>
        <w:rPr>
          <w:i/>
          <w:iCs/>
        </w:rPr>
        <w:t>maculiventris</w:t>
      </w:r>
      <w:proofErr w:type="spellEnd"/>
      <w:r w:rsidR="00392950">
        <w:t xml:space="preserve"> </w:t>
      </w:r>
      <w:r>
        <w:t xml:space="preserve">as a function of bean beetle density, and plot the curve fitted using </w:t>
      </w:r>
      <w:proofErr w:type="spellStart"/>
      <w:r>
        <w:t>Holling's</w:t>
      </w:r>
      <w:proofErr w:type="spellEnd"/>
      <w:r>
        <w:t xml:space="preserve"> disk equation (</w:t>
      </w:r>
      <w:r>
        <w:rPr>
          <w:i/>
          <w:iCs/>
        </w:rPr>
        <w:t>T</w:t>
      </w:r>
      <w:r w:rsidR="00392950">
        <w:t xml:space="preserve"> </w:t>
      </w:r>
      <w:r>
        <w:t>= 14 daylight hours; parameter estimates are</w:t>
      </w:r>
      <w:r w:rsidR="00392950">
        <w:t xml:space="preserve"> </w:t>
      </w:r>
      <w:r>
        <w:rPr>
          <w:i/>
          <w:iCs/>
        </w:rPr>
        <w:t>a</w:t>
      </w:r>
      <w:r w:rsidR="00392950">
        <w:rPr>
          <w:i/>
          <w:iCs/>
        </w:rPr>
        <w:t xml:space="preserve">’ </w:t>
      </w:r>
      <w:r>
        <w:t>= 0.0952, and</w:t>
      </w:r>
      <w:r w:rsidR="00392950">
        <w:t xml:space="preserve"> </w:t>
      </w:r>
      <w:r>
        <w:rPr>
          <w:i/>
          <w:iCs/>
        </w:rPr>
        <w:t>T</w:t>
      </w:r>
      <w:r>
        <w:rPr>
          <w:i/>
          <w:iCs/>
          <w:vertAlign w:val="subscript"/>
        </w:rPr>
        <w:t>h</w:t>
      </w:r>
      <w:r w:rsidR="00392950">
        <w:t xml:space="preserve"> </w:t>
      </w:r>
      <w:r>
        <w:t>= 0.90).</w:t>
      </w:r>
    </w:p>
    <w:p w14:paraId="2F07C939" w14:textId="77777777" w:rsidR="008E6A8B" w:rsidRPr="008E6A8B" w:rsidRDefault="00B30DEF" w:rsidP="00413631">
      <w:pPr>
        <w:jc w:val="center"/>
      </w:pPr>
      <w:r>
        <w:fldChar w:fldCharType="begin"/>
      </w:r>
      <w:r>
        <w:instrText xml:space="preserve"> INCLUDEPICTURE "http://www.tiem.utk.edu/~gross/bioed/bealsmodules/holling.gph.gif" \* MERGEFORMATINET </w:instrText>
      </w:r>
      <w:r>
        <w:fldChar w:fldCharType="separate"/>
      </w:r>
      <w:r>
        <w:rPr>
          <w:noProof/>
        </w:rPr>
        <w:drawing>
          <wp:inline distT="0" distB="0" distL="0" distR="0" wp14:anchorId="734C5B0A" wp14:editId="534D7AFA">
            <wp:extent cx="3657600" cy="2508481"/>
            <wp:effectExtent l="0" t="0" r="0" b="6350"/>
            <wp:docPr id="1" name="Picture 1" descr="http://www.tiem.utk.edu/~gross/bioed/bealsmodules/holling.g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bealsmodules/holling.gph.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508481"/>
                    </a:xfrm>
                    <a:prstGeom prst="rect">
                      <a:avLst/>
                    </a:prstGeom>
                    <a:noFill/>
                    <a:ln>
                      <a:noFill/>
                    </a:ln>
                  </pic:spPr>
                </pic:pic>
              </a:graphicData>
            </a:graphic>
          </wp:inline>
        </w:drawing>
      </w:r>
      <w:r>
        <w:fldChar w:fldCharType="end"/>
      </w:r>
    </w:p>
    <w:p w14:paraId="58BF6294" w14:textId="77777777" w:rsidR="00283F45" w:rsidRDefault="00283F45" w:rsidP="00283F45">
      <w:pPr>
        <w:pStyle w:val="Heading1"/>
      </w:pPr>
      <w:r w:rsidRPr="00283F45">
        <w:t>Interpretation</w:t>
      </w:r>
    </w:p>
    <w:p w14:paraId="41359D8F" w14:textId="77777777" w:rsidR="008E6A8B" w:rsidRPr="000B5C79" w:rsidRDefault="000B5C79" w:rsidP="000B5C79">
      <w:pPr>
        <w:rPr>
          <w:color w:val="auto"/>
          <w:sz w:val="24"/>
          <w:szCs w:val="24"/>
          <w:lang w:eastAsia="zh-CN"/>
        </w:rPr>
      </w:pPr>
      <w:proofErr w:type="spellStart"/>
      <w:r w:rsidRPr="000B5C79">
        <w:rPr>
          <w:shd w:val="clear" w:color="auto" w:fill="FFFFFF"/>
          <w:lang w:eastAsia="zh-CN"/>
        </w:rPr>
        <w:t>Holling</w:t>
      </w:r>
      <w:proofErr w:type="spellEnd"/>
      <w:r w:rsidRPr="000B5C79">
        <w:rPr>
          <w:shd w:val="clear" w:color="auto" w:fill="FFFFFF"/>
          <w:lang w:eastAsia="zh-CN"/>
        </w:rPr>
        <w:t xml:space="preserve"> explained the type II functional response as follows. There is a specific amount of handling time (</w:t>
      </w:r>
      <w:r w:rsidRPr="000B5C79">
        <w:rPr>
          <w:i/>
          <w:iCs/>
          <w:shd w:val="clear" w:color="auto" w:fill="FFFFFF"/>
          <w:lang w:eastAsia="zh-CN"/>
        </w:rPr>
        <w:t>T</w:t>
      </w:r>
      <w:r w:rsidRPr="000B5C79">
        <w:rPr>
          <w:i/>
          <w:iCs/>
          <w:shd w:val="clear" w:color="auto" w:fill="FFFFFF"/>
          <w:vertAlign w:val="subscript"/>
          <w:lang w:eastAsia="zh-CN"/>
        </w:rPr>
        <w:t>h</w:t>
      </w:r>
      <w:r w:rsidRPr="000B5C79">
        <w:rPr>
          <w:shd w:val="clear" w:color="auto" w:fill="FFFFFF"/>
          <w:lang w:eastAsia="zh-CN"/>
        </w:rPr>
        <w:t>) associated with each prey item eaten or attacked that is invariant to the density of the prey (</w:t>
      </w:r>
      <w:r w:rsidRPr="000B5C79">
        <w:rPr>
          <w:i/>
          <w:iCs/>
          <w:shd w:val="clear" w:color="auto" w:fill="FFFFFF"/>
          <w:lang w:eastAsia="zh-CN"/>
        </w:rPr>
        <w:t>N</w:t>
      </w:r>
      <w:r w:rsidRPr="000B5C79">
        <w:rPr>
          <w:shd w:val="clear" w:color="auto" w:fill="FFFFFF"/>
          <w:lang w:eastAsia="zh-CN"/>
        </w:rPr>
        <w:t>). Consequently, while prey items are easier to find as their density increases, handling time per prey item is the same, and the maximum number of prey items eaten or attacked is determined by the ratio of total available searching time to handling time (</w:t>
      </w:r>
      <w:r w:rsidRPr="000B5C79">
        <w:rPr>
          <w:i/>
          <w:iCs/>
          <w:shd w:val="clear" w:color="auto" w:fill="FFFFFF"/>
          <w:lang w:eastAsia="zh-CN"/>
        </w:rPr>
        <w:t>T</w:t>
      </w:r>
      <w:r w:rsidRPr="000B5C79">
        <w:rPr>
          <w:shd w:val="clear" w:color="auto" w:fill="FFFFFF"/>
          <w:lang w:eastAsia="zh-CN"/>
        </w:rPr>
        <w:t>/</w:t>
      </w:r>
      <w:r w:rsidRPr="000B5C79">
        <w:rPr>
          <w:i/>
          <w:iCs/>
          <w:shd w:val="clear" w:color="auto" w:fill="FFFFFF"/>
          <w:lang w:eastAsia="zh-CN"/>
        </w:rPr>
        <w:t>T</w:t>
      </w:r>
      <w:r w:rsidRPr="000B5C79">
        <w:rPr>
          <w:i/>
          <w:iCs/>
          <w:shd w:val="clear" w:color="auto" w:fill="FFFFFF"/>
          <w:vertAlign w:val="subscript"/>
          <w:lang w:eastAsia="zh-CN"/>
        </w:rPr>
        <w:t>h</w:t>
      </w:r>
      <w:r w:rsidRPr="000B5C79">
        <w:rPr>
          <w:shd w:val="clear" w:color="auto" w:fill="FFFFFF"/>
          <w:lang w:eastAsia="zh-CN"/>
        </w:rPr>
        <w:t>). In other words, at low prey densities (small</w:t>
      </w:r>
      <w:r>
        <w:rPr>
          <w:shd w:val="clear" w:color="auto" w:fill="FFFFFF"/>
          <w:lang w:eastAsia="zh-CN"/>
        </w:rPr>
        <w:t xml:space="preserve"> </w:t>
      </w:r>
      <w:r w:rsidRPr="000B5C79">
        <w:rPr>
          <w:i/>
          <w:iCs/>
          <w:shd w:val="clear" w:color="auto" w:fill="FFFFFF"/>
          <w:lang w:eastAsia="zh-CN"/>
        </w:rPr>
        <w:t>N</w:t>
      </w:r>
      <w:r w:rsidRPr="000B5C79">
        <w:rPr>
          <w:shd w:val="clear" w:color="auto" w:fill="FFFFFF"/>
          <w:lang w:eastAsia="zh-CN"/>
        </w:rPr>
        <w:t xml:space="preserve">), a smaller proportion of a </w:t>
      </w:r>
      <w:proofErr w:type="spellStart"/>
      <w:r w:rsidRPr="000B5C79">
        <w:rPr>
          <w:shd w:val="clear" w:color="auto" w:fill="FFFFFF"/>
          <w:lang w:eastAsia="zh-CN"/>
        </w:rPr>
        <w:t>predatorís</w:t>
      </w:r>
      <w:proofErr w:type="spellEnd"/>
      <w:r w:rsidRPr="000B5C79">
        <w:rPr>
          <w:shd w:val="clear" w:color="auto" w:fill="FFFFFF"/>
          <w:lang w:eastAsia="zh-CN"/>
        </w:rPr>
        <w:t xml:space="preserve"> time is spent handling prey, even if the predator attacks every prey item available. As prey density increases and more prey </w:t>
      </w:r>
      <w:r w:rsidRPr="000B5C79">
        <w:rPr>
          <w:shd w:val="clear" w:color="auto" w:fill="FFFFFF"/>
          <w:lang w:eastAsia="zh-CN"/>
        </w:rPr>
        <w:lastRenderedPageBreak/>
        <w:t>are attacked, the proportion of time spent handling prey increases. This proportion reaches a maximum when all available time is spent handling prey (</w:t>
      </w:r>
      <w:r w:rsidRPr="000B5C79">
        <w:rPr>
          <w:i/>
          <w:iCs/>
          <w:shd w:val="clear" w:color="auto" w:fill="FFFFFF"/>
          <w:lang w:eastAsia="zh-CN"/>
        </w:rPr>
        <w:t>T</w:t>
      </w:r>
      <w:r>
        <w:rPr>
          <w:shd w:val="clear" w:color="auto" w:fill="FFFFFF"/>
          <w:lang w:eastAsia="zh-CN"/>
        </w:rPr>
        <w:t xml:space="preserve"> </w:t>
      </w:r>
      <w:r w:rsidRPr="000B5C79">
        <w:rPr>
          <w:shd w:val="clear" w:color="auto" w:fill="FFFFFF"/>
          <w:lang w:eastAsia="zh-CN"/>
        </w:rPr>
        <w:t>=</w:t>
      </w:r>
      <w:r>
        <w:rPr>
          <w:shd w:val="clear" w:color="auto" w:fill="FFFFFF"/>
          <w:lang w:eastAsia="zh-CN"/>
        </w:rPr>
        <w:t xml:space="preserve"> </w:t>
      </w:r>
      <w:r w:rsidRPr="000B5C79">
        <w:rPr>
          <w:i/>
          <w:iCs/>
          <w:shd w:val="clear" w:color="auto" w:fill="FFFFFF"/>
          <w:lang w:eastAsia="zh-CN"/>
        </w:rPr>
        <w:t>T</w:t>
      </w:r>
      <w:r w:rsidRPr="000B5C79">
        <w:rPr>
          <w:i/>
          <w:iCs/>
          <w:shd w:val="clear" w:color="auto" w:fill="FFFFFF"/>
          <w:vertAlign w:val="subscript"/>
          <w:lang w:eastAsia="zh-CN"/>
        </w:rPr>
        <w:t>h</w:t>
      </w:r>
      <w:r w:rsidRPr="000B5C79">
        <w:rPr>
          <w:shd w:val="clear" w:color="auto" w:fill="FFFFFF"/>
          <w:lang w:eastAsia="zh-CN"/>
        </w:rPr>
        <w:t>); at this point, handling time (</w:t>
      </w:r>
      <w:r w:rsidRPr="00975944">
        <w:rPr>
          <w:i/>
          <w:shd w:val="clear" w:color="auto" w:fill="FFFFFF"/>
          <w:lang w:eastAsia="zh-CN"/>
        </w:rPr>
        <w:t>T</w:t>
      </w:r>
      <w:r w:rsidRPr="00975944">
        <w:rPr>
          <w:i/>
          <w:sz w:val="24"/>
          <w:szCs w:val="24"/>
          <w:shd w:val="clear" w:color="auto" w:fill="FFFFFF"/>
          <w:vertAlign w:val="subscript"/>
          <w:lang w:eastAsia="zh-CN"/>
        </w:rPr>
        <w:t>h</w:t>
      </w:r>
      <w:r w:rsidRPr="000B5C79">
        <w:rPr>
          <w:shd w:val="clear" w:color="auto" w:fill="FFFFFF"/>
          <w:lang w:eastAsia="zh-CN"/>
        </w:rPr>
        <w:t>), rather than prey availability, limits the number of prey items that a predator can consume (and consequently determines the level of the plateau).</w:t>
      </w:r>
    </w:p>
    <w:p w14:paraId="40EA4FF7" w14:textId="77777777" w:rsidR="00283F45" w:rsidRDefault="00283F45" w:rsidP="00283F45">
      <w:pPr>
        <w:pStyle w:val="Heading1"/>
      </w:pPr>
      <w:r>
        <w:t>Conclusion</w:t>
      </w:r>
    </w:p>
    <w:p w14:paraId="780A8879" w14:textId="77777777" w:rsidR="008E6A8B" w:rsidRPr="00AD7D8E" w:rsidRDefault="00F75122" w:rsidP="008E6A8B">
      <w:pPr>
        <w:rPr>
          <w:color w:val="auto"/>
          <w:sz w:val="24"/>
          <w:szCs w:val="24"/>
          <w:lang w:eastAsia="zh-CN"/>
        </w:rPr>
      </w:pPr>
      <w:proofErr w:type="spellStart"/>
      <w:r w:rsidRPr="00F75122">
        <w:rPr>
          <w:shd w:val="clear" w:color="auto" w:fill="FFFFFF"/>
          <w:lang w:eastAsia="zh-CN"/>
        </w:rPr>
        <w:t>Wiedenmann</w:t>
      </w:r>
      <w:proofErr w:type="spellEnd"/>
      <w:r w:rsidRPr="00F75122">
        <w:rPr>
          <w:shd w:val="clear" w:color="auto" w:fill="FFFFFF"/>
          <w:lang w:eastAsia="zh-CN"/>
        </w:rPr>
        <w:t xml:space="preserve"> &amp; O</w:t>
      </w:r>
      <w:r w:rsidR="00F93E71">
        <w:rPr>
          <w:shd w:val="clear" w:color="auto" w:fill="FFFFFF"/>
          <w:lang w:eastAsia="zh-CN"/>
        </w:rPr>
        <w:t>’</w:t>
      </w:r>
      <w:r w:rsidRPr="00F75122">
        <w:rPr>
          <w:shd w:val="clear" w:color="auto" w:fill="FFFFFF"/>
          <w:lang w:eastAsia="zh-CN"/>
        </w:rPr>
        <w:t xml:space="preserve">Neil used </w:t>
      </w:r>
      <w:proofErr w:type="spellStart"/>
      <w:r w:rsidRPr="00F75122">
        <w:rPr>
          <w:shd w:val="clear" w:color="auto" w:fill="FFFFFF"/>
          <w:lang w:eastAsia="zh-CN"/>
        </w:rPr>
        <w:t>Holling's</w:t>
      </w:r>
      <w:proofErr w:type="spellEnd"/>
      <w:r w:rsidRPr="00F75122">
        <w:rPr>
          <w:shd w:val="clear" w:color="auto" w:fill="FFFFFF"/>
          <w:lang w:eastAsia="zh-CN"/>
        </w:rPr>
        <w:t xml:space="preserve"> disk equation to estimate the parameters</w:t>
      </w:r>
      <w:r>
        <w:rPr>
          <w:shd w:val="clear" w:color="auto" w:fill="FFFFFF"/>
          <w:lang w:eastAsia="zh-CN"/>
        </w:rPr>
        <w:t xml:space="preserve"> </w:t>
      </w:r>
      <w:r w:rsidRPr="00F75122">
        <w:rPr>
          <w:i/>
          <w:iCs/>
          <w:shd w:val="clear" w:color="auto" w:fill="FFFFFF"/>
          <w:lang w:eastAsia="zh-CN"/>
        </w:rPr>
        <w:t>T</w:t>
      </w:r>
      <w:r w:rsidRPr="00F75122">
        <w:rPr>
          <w:i/>
          <w:iCs/>
          <w:shd w:val="clear" w:color="auto" w:fill="FFFFFF"/>
          <w:vertAlign w:val="subscript"/>
          <w:lang w:eastAsia="zh-CN"/>
        </w:rPr>
        <w:t>h</w:t>
      </w:r>
      <w:r>
        <w:rPr>
          <w:shd w:val="clear" w:color="auto" w:fill="FFFFFF"/>
          <w:lang w:eastAsia="zh-CN"/>
        </w:rPr>
        <w:t xml:space="preserve"> </w:t>
      </w:r>
      <w:r w:rsidRPr="00F75122">
        <w:rPr>
          <w:shd w:val="clear" w:color="auto" w:fill="FFFFFF"/>
          <w:lang w:eastAsia="zh-CN"/>
        </w:rPr>
        <w:t>and</w:t>
      </w:r>
      <w:r>
        <w:rPr>
          <w:shd w:val="clear" w:color="auto" w:fill="FFFFFF"/>
          <w:lang w:eastAsia="zh-CN"/>
        </w:rPr>
        <w:t xml:space="preserve"> </w:t>
      </w:r>
      <w:r w:rsidRPr="00F75122">
        <w:rPr>
          <w:i/>
          <w:iCs/>
          <w:shd w:val="clear" w:color="auto" w:fill="FFFFFF"/>
          <w:lang w:eastAsia="zh-CN"/>
        </w:rPr>
        <w:t>a</w:t>
      </w:r>
      <w:r>
        <w:rPr>
          <w:i/>
          <w:iCs/>
          <w:shd w:val="clear" w:color="auto" w:fill="FFFFFF"/>
          <w:lang w:eastAsia="zh-CN"/>
        </w:rPr>
        <w:t>’</w:t>
      </w:r>
      <w:r w:rsidRPr="00F75122">
        <w:rPr>
          <w:shd w:val="clear" w:color="auto" w:fill="FFFFFF"/>
          <w:lang w:eastAsia="zh-CN"/>
        </w:rPr>
        <w:t>. Substituting these estimates and the known values for the other variables in the equation produced a curve that fit the laboratory data well, and they obtained an estimate of 15.5 for the maximum number of preys that could be attacked in a day. This estimate is much higher than that observed in field studies, where</w:t>
      </w:r>
      <w:r>
        <w:rPr>
          <w:shd w:val="clear" w:color="auto" w:fill="FFFFFF"/>
          <w:lang w:eastAsia="zh-CN"/>
        </w:rPr>
        <w:t xml:space="preserve"> </w:t>
      </w:r>
      <w:r w:rsidRPr="00F75122">
        <w:rPr>
          <w:i/>
          <w:iCs/>
          <w:shd w:val="clear" w:color="auto" w:fill="FFFFFF"/>
          <w:lang w:eastAsia="zh-CN"/>
        </w:rPr>
        <w:t xml:space="preserve">P. </w:t>
      </w:r>
      <w:proofErr w:type="spellStart"/>
      <w:r w:rsidRPr="00F75122">
        <w:rPr>
          <w:i/>
          <w:iCs/>
          <w:shd w:val="clear" w:color="auto" w:fill="FFFFFF"/>
          <w:lang w:eastAsia="zh-CN"/>
        </w:rPr>
        <w:t>maculiventris</w:t>
      </w:r>
      <w:proofErr w:type="spellEnd"/>
      <w:r>
        <w:rPr>
          <w:shd w:val="clear" w:color="auto" w:fill="FFFFFF"/>
          <w:lang w:eastAsia="zh-CN"/>
        </w:rPr>
        <w:t xml:space="preserve"> </w:t>
      </w:r>
      <w:r w:rsidRPr="00F75122">
        <w:rPr>
          <w:shd w:val="clear" w:color="auto" w:fill="FFFFFF"/>
          <w:lang w:eastAsia="zh-CN"/>
        </w:rPr>
        <w:t>only attacked an average of two bean beetles per day, even when beetles were abundant. The researchers point out that predators may have limitations in addition to handling time in field situations, and caution that functional responses determined in the laboratory may differ in maximum consumption rates, and even in the shape of the response curve, from those observed in the field.</w:t>
      </w:r>
    </w:p>
    <w:p w14:paraId="472290AE" w14:textId="77777777" w:rsidR="008E6A8B" w:rsidRDefault="008E6A8B" w:rsidP="00283F45">
      <w:pPr>
        <w:pStyle w:val="Heading1"/>
      </w:pPr>
      <w:r>
        <w:t>Additional Questions</w:t>
      </w:r>
    </w:p>
    <w:p w14:paraId="14152D78" w14:textId="77777777" w:rsidR="008E6A8B" w:rsidRPr="008E6A8B" w:rsidRDefault="00ED00F2" w:rsidP="008E6A8B">
      <w:pPr>
        <w:rPr>
          <w:lang w:eastAsia="zh-CN"/>
        </w:rPr>
      </w:pPr>
      <w:r w:rsidRPr="00ED00F2">
        <w:rPr>
          <w:lang w:eastAsia="zh-CN"/>
        </w:rPr>
        <w:t xml:space="preserve">1. </w:t>
      </w:r>
      <w:proofErr w:type="spellStart"/>
      <w:r w:rsidRPr="00ED00F2">
        <w:rPr>
          <w:lang w:eastAsia="zh-CN"/>
        </w:rPr>
        <w:t>Holling's</w:t>
      </w:r>
      <w:proofErr w:type="spellEnd"/>
      <w:r w:rsidRPr="00ED00F2">
        <w:rPr>
          <w:lang w:eastAsia="zh-CN"/>
        </w:rPr>
        <w:t xml:space="preserve"> disk equation assumes that attack rates and handling times are independent of prey density, and that no significant reduction in prey density occurs. Are these reasonable assumptions? Under what circumstances could they be reasonable?</w:t>
      </w:r>
    </w:p>
    <w:p w14:paraId="0B7E084C" w14:textId="77777777" w:rsidR="00283F45" w:rsidRDefault="00283F45" w:rsidP="00283F45">
      <w:pPr>
        <w:pStyle w:val="Heading1"/>
      </w:pPr>
      <w:r>
        <w:t>Source</w:t>
      </w:r>
    </w:p>
    <w:p w14:paraId="7D110BD2" w14:textId="77777777" w:rsidR="008B6B59" w:rsidRDefault="008B6B59" w:rsidP="008B6B59">
      <w:proofErr w:type="spellStart"/>
      <w:r>
        <w:t>Begon</w:t>
      </w:r>
      <w:proofErr w:type="spellEnd"/>
      <w:r>
        <w:t xml:space="preserve">, M., J. L. Harper, and C. R. Townsend. 1996. </w:t>
      </w:r>
      <w:r w:rsidRPr="008B6B59">
        <w:rPr>
          <w:i/>
        </w:rPr>
        <w:t>Ecology: Individuals, Populations, and Communities, 3rd edition</w:t>
      </w:r>
      <w:r>
        <w:t>. Blackwell Science Ltd., Cambridge, MA.</w:t>
      </w:r>
    </w:p>
    <w:p w14:paraId="11FF6AAF" w14:textId="77777777" w:rsidR="008B6B59" w:rsidRDefault="008B6B59" w:rsidP="008B6B59">
      <w:proofErr w:type="spellStart"/>
      <w:r>
        <w:t>Holling</w:t>
      </w:r>
      <w:proofErr w:type="spellEnd"/>
      <w:r>
        <w:t xml:space="preserve">, C. S. 1959. Some characteristics of simple types of predation and parasitism. </w:t>
      </w:r>
      <w:r w:rsidRPr="00155D80">
        <w:rPr>
          <w:i/>
        </w:rPr>
        <w:t>Canadian Entomologist 91</w:t>
      </w:r>
      <w:r>
        <w:t>:385-398.</w:t>
      </w:r>
    </w:p>
    <w:p w14:paraId="0EAC6490" w14:textId="77777777" w:rsidR="008B6B59" w:rsidRDefault="008B6B59" w:rsidP="008B6B59">
      <w:r>
        <w:t xml:space="preserve">Southwood, T. R. E. 1978. </w:t>
      </w:r>
      <w:r w:rsidRPr="008B6B59">
        <w:rPr>
          <w:i/>
        </w:rPr>
        <w:t>Ecological Methods: With Particular Reference to the Study of Insect Populations</w:t>
      </w:r>
      <w:r>
        <w:t>. John Wiley &amp; Sons, Inc., New York, NY.</w:t>
      </w:r>
    </w:p>
    <w:p w14:paraId="069AA981" w14:textId="77777777" w:rsidR="008E6A8B" w:rsidRDefault="008B6B59" w:rsidP="008B6B59">
      <w:proofErr w:type="spellStart"/>
      <w:r>
        <w:t>Wiedenmann</w:t>
      </w:r>
      <w:proofErr w:type="spellEnd"/>
      <w:r>
        <w:t xml:space="preserve">, R. N. and R. J. O’Neil. 1991. Laboratory measurement of the functional response of </w:t>
      </w:r>
      <w:proofErr w:type="spellStart"/>
      <w:r>
        <w:t>Podisus</w:t>
      </w:r>
      <w:proofErr w:type="spellEnd"/>
      <w:r>
        <w:t xml:space="preserve"> </w:t>
      </w:r>
      <w:proofErr w:type="spellStart"/>
      <w:r>
        <w:t>maculiventris</w:t>
      </w:r>
      <w:proofErr w:type="spellEnd"/>
      <w:r>
        <w:t xml:space="preserve"> (Say) (</w:t>
      </w:r>
      <w:proofErr w:type="spellStart"/>
      <w:r>
        <w:t>Heteroptera</w:t>
      </w:r>
      <w:proofErr w:type="spellEnd"/>
      <w:r>
        <w:t xml:space="preserve">: </w:t>
      </w:r>
      <w:proofErr w:type="spellStart"/>
      <w:r>
        <w:t>Pentatomidae</w:t>
      </w:r>
      <w:proofErr w:type="spellEnd"/>
      <w:r>
        <w:t xml:space="preserve">). </w:t>
      </w:r>
      <w:r w:rsidRPr="00155D80">
        <w:rPr>
          <w:i/>
        </w:rPr>
        <w:t>Environmental Entomology 20(2)</w:t>
      </w:r>
      <w:r>
        <w:t>:610-614.</w:t>
      </w:r>
    </w:p>
    <w:p w14:paraId="76656E63" w14:textId="77777777" w:rsidR="00A207B5" w:rsidRPr="00283F45" w:rsidRDefault="00A207B5" w:rsidP="00283F45">
      <w:pPr>
        <w:pStyle w:val="Heading1"/>
      </w:pPr>
      <w:r w:rsidRPr="00283F45">
        <w:t>About this Resource</w:t>
      </w:r>
    </w:p>
    <w:p w14:paraId="2C48B278"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w:t>
      </w:r>
      <w:r>
        <w:lastRenderedPageBreak/>
        <w:t xml:space="preserve">to the University of Tennessee, Knoxville for August 1, 1998 - July 31, 2000. Principal Investigator: Louis J. Gross. Co-Principal Investigators: Beth C. Mullin and Susan E. </w:t>
      </w:r>
      <w:proofErr w:type="spellStart"/>
      <w:r>
        <w:t>Riechert</w:t>
      </w:r>
      <w:proofErr w:type="spellEnd"/>
      <w:r>
        <w:t>.</w:t>
      </w:r>
    </w:p>
    <w:p w14:paraId="7BF36BA6"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4475B923"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80860" w14:textId="77777777" w:rsidR="006F6CAE" w:rsidRDefault="006F6CAE" w:rsidP="00A207B5">
      <w:r>
        <w:separator/>
      </w:r>
    </w:p>
  </w:endnote>
  <w:endnote w:type="continuationSeparator" w:id="0">
    <w:p w14:paraId="0B1E9FC0" w14:textId="77777777" w:rsidR="006F6CAE" w:rsidRDefault="006F6CAE" w:rsidP="00A207B5">
      <w:r>
        <w:continuationSeparator/>
      </w:r>
    </w:p>
  </w:endnote>
  <w:endnote w:id="1">
    <w:p w14:paraId="29411957" w14:textId="77777777" w:rsidR="00A207B5" w:rsidRDefault="00A207B5" w:rsidP="00A207B5">
      <w:pPr>
        <w:pStyle w:val="EndnoteText"/>
      </w:pPr>
      <w:r>
        <w:rPr>
          <w:rStyle w:val="EndnoteReference"/>
        </w:rPr>
        <w:endnoteRef/>
      </w:r>
      <w:r>
        <w:t xml:space="preserve"> http://www.tiem.utk.edu/~gross/bioed/</w:t>
      </w:r>
    </w:p>
  </w:endnote>
  <w:endnote w:id="2">
    <w:p w14:paraId="4175EDF4" w14:textId="77777777" w:rsidR="00A207B5" w:rsidRDefault="00A207B5" w:rsidP="00A207B5">
      <w:pPr>
        <w:pStyle w:val="EndnoteText"/>
      </w:pPr>
      <w:r>
        <w:rPr>
          <w:rStyle w:val="EndnoteReference"/>
        </w:rPr>
        <w:endnoteRef/>
      </w:r>
      <w:r>
        <w:t xml:space="preserve"> https://qubeshub.org/community/groups/quantbioatcc/</w:t>
      </w:r>
    </w:p>
  </w:endnote>
  <w:endnote w:id="3">
    <w:p w14:paraId="64369131"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1C6CDFB1" w14:textId="669B4EEF" w:rsidR="00A207B5" w:rsidRDefault="00A207B5" w:rsidP="00A207B5">
      <w:pPr>
        <w:pStyle w:val="EndnoteText"/>
      </w:pPr>
      <w:r>
        <w:rPr>
          <w:rStyle w:val="EndnoteReference"/>
        </w:rPr>
        <w:endnoteRef/>
      </w:r>
      <w:r>
        <w:t xml:space="preserve"> </w:t>
      </w:r>
      <w:r w:rsidRPr="00B50C5B">
        <w:t>https://qubeshub.org/qubesresources/publications/</w:t>
      </w:r>
      <w:r w:rsidR="004957E5">
        <w:t>1066</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B16CE" w14:textId="77777777" w:rsidR="006F6CAE" w:rsidRDefault="006F6CAE" w:rsidP="00A207B5">
      <w:r>
        <w:separator/>
      </w:r>
    </w:p>
  </w:footnote>
  <w:footnote w:type="continuationSeparator" w:id="0">
    <w:p w14:paraId="25D278F9" w14:textId="77777777" w:rsidR="006F6CAE" w:rsidRDefault="006F6CAE"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0F"/>
    <w:rsid w:val="00081CAE"/>
    <w:rsid w:val="000B5C79"/>
    <w:rsid w:val="000D1B0F"/>
    <w:rsid w:val="000D79DD"/>
    <w:rsid w:val="000F039B"/>
    <w:rsid w:val="00155D80"/>
    <w:rsid w:val="001E2492"/>
    <w:rsid w:val="0024398E"/>
    <w:rsid w:val="00283F45"/>
    <w:rsid w:val="002C71F1"/>
    <w:rsid w:val="00302242"/>
    <w:rsid w:val="003607A8"/>
    <w:rsid w:val="00373D4C"/>
    <w:rsid w:val="00392950"/>
    <w:rsid w:val="00413631"/>
    <w:rsid w:val="004957E5"/>
    <w:rsid w:val="004B463B"/>
    <w:rsid w:val="005C7BFE"/>
    <w:rsid w:val="00621462"/>
    <w:rsid w:val="006F6CAE"/>
    <w:rsid w:val="00735464"/>
    <w:rsid w:val="007F0B29"/>
    <w:rsid w:val="00893506"/>
    <w:rsid w:val="00897E96"/>
    <w:rsid w:val="008B6B59"/>
    <w:rsid w:val="008C6F56"/>
    <w:rsid w:val="008E6A8B"/>
    <w:rsid w:val="00975944"/>
    <w:rsid w:val="009F2F12"/>
    <w:rsid w:val="00A207B5"/>
    <w:rsid w:val="00AD7D8E"/>
    <w:rsid w:val="00B30DEF"/>
    <w:rsid w:val="00BE3B85"/>
    <w:rsid w:val="00C33A2A"/>
    <w:rsid w:val="00CD3585"/>
    <w:rsid w:val="00DB5A46"/>
    <w:rsid w:val="00E92C55"/>
    <w:rsid w:val="00ED00F2"/>
    <w:rsid w:val="00EE299D"/>
    <w:rsid w:val="00F75122"/>
    <w:rsid w:val="00F9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9617A4"/>
  <w15:chartTrackingRefBased/>
  <w15:docId w15:val="{E2C4206A-B462-A048-BAC7-01CBE30A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character" w:styleId="Hyperlink">
    <w:name w:val="Hyperlink"/>
    <w:basedOn w:val="DefaultParagraphFont"/>
    <w:uiPriority w:val="99"/>
    <w:unhideWhenUsed/>
    <w:rsid w:val="000F039B"/>
    <w:rPr>
      <w:color w:val="0000FF"/>
      <w:u w:val="single"/>
    </w:rPr>
  </w:style>
  <w:style w:type="paragraph" w:styleId="NormalWeb">
    <w:name w:val="Normal (Web)"/>
    <w:basedOn w:val="Normal"/>
    <w:uiPriority w:val="99"/>
    <w:semiHidden/>
    <w:unhideWhenUsed/>
    <w:rsid w:val="00B30DEF"/>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B3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0DEF"/>
    <w:rPr>
      <w:color w:val="808080"/>
    </w:rPr>
  </w:style>
  <w:style w:type="character" w:styleId="UnresolvedMention">
    <w:name w:val="Unresolved Mention"/>
    <w:basedOn w:val="DefaultParagraphFont"/>
    <w:uiPriority w:val="99"/>
    <w:semiHidden/>
    <w:unhideWhenUsed/>
    <w:rsid w:val="00495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39893">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607006489">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810828375">
      <w:bodyDiv w:val="1"/>
      <w:marLeft w:val="0"/>
      <w:marRight w:val="0"/>
      <w:marTop w:val="0"/>
      <w:marBottom w:val="0"/>
      <w:divBdr>
        <w:top w:val="none" w:sz="0" w:space="0" w:color="auto"/>
        <w:left w:val="none" w:sz="0" w:space="0" w:color="auto"/>
        <w:bottom w:val="none" w:sz="0" w:space="0" w:color="auto"/>
        <w:right w:val="none" w:sz="0" w:space="0" w:color="auto"/>
      </w:divBdr>
    </w:div>
    <w:div w:id="962535426">
      <w:bodyDiv w:val="1"/>
      <w:marLeft w:val="0"/>
      <w:marRight w:val="0"/>
      <w:marTop w:val="0"/>
      <w:marBottom w:val="0"/>
      <w:divBdr>
        <w:top w:val="none" w:sz="0" w:space="0" w:color="auto"/>
        <w:left w:val="none" w:sz="0" w:space="0" w:color="auto"/>
        <w:bottom w:val="none" w:sz="0" w:space="0" w:color="auto"/>
        <w:right w:val="none" w:sz="0" w:space="0" w:color="auto"/>
      </w:divBdr>
    </w:div>
    <w:div w:id="1034505045">
      <w:bodyDiv w:val="1"/>
      <w:marLeft w:val="0"/>
      <w:marRight w:val="0"/>
      <w:marTop w:val="0"/>
      <w:marBottom w:val="0"/>
      <w:divBdr>
        <w:top w:val="none" w:sz="0" w:space="0" w:color="auto"/>
        <w:left w:val="none" w:sz="0" w:space="0" w:color="auto"/>
        <w:bottom w:val="none" w:sz="0" w:space="0" w:color="auto"/>
        <w:right w:val="none" w:sz="0" w:space="0" w:color="auto"/>
      </w:divBdr>
    </w:div>
    <w:div w:id="1558934233">
      <w:bodyDiv w:val="1"/>
      <w:marLeft w:val="0"/>
      <w:marRight w:val="0"/>
      <w:marTop w:val="0"/>
      <w:marBottom w:val="0"/>
      <w:divBdr>
        <w:top w:val="none" w:sz="0" w:space="0" w:color="auto"/>
        <w:left w:val="none" w:sz="0" w:space="0" w:color="auto"/>
        <w:bottom w:val="none" w:sz="0" w:space="0" w:color="auto"/>
        <w:right w:val="none" w:sz="0" w:space="0" w:color="auto"/>
      </w:divBdr>
    </w:div>
    <w:div w:id="1613324494">
      <w:bodyDiv w:val="1"/>
      <w:marLeft w:val="0"/>
      <w:marRight w:val="0"/>
      <w:marTop w:val="0"/>
      <w:marBottom w:val="0"/>
      <w:divBdr>
        <w:top w:val="none" w:sz="0" w:space="0" w:color="auto"/>
        <w:left w:val="none" w:sz="0" w:space="0" w:color="auto"/>
        <w:bottom w:val="none" w:sz="0" w:space="0" w:color="auto"/>
        <w:right w:val="none" w:sz="0" w:space="0" w:color="auto"/>
      </w:divBdr>
    </w:div>
    <w:div w:id="21069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tiem.utk.edu/~gross/bioed/bealsmodules/predator-pre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em.utk.edu/~gross/bioed/bealsmodules/functional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11</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19</cp:revision>
  <dcterms:created xsi:type="dcterms:W3CDTF">2019-01-22T05:24:00Z</dcterms:created>
  <dcterms:modified xsi:type="dcterms:W3CDTF">2019-02-06T08:17:00Z</dcterms:modified>
</cp:coreProperties>
</file>