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6FFE5" w14:textId="77777777" w:rsidR="00643D70" w:rsidRPr="00643D70" w:rsidRDefault="00643D70" w:rsidP="00643D70">
      <w:pPr>
        <w:pStyle w:val="Title"/>
      </w:pPr>
      <w:r>
        <w:t>Sizes of Organisms: The Surface Area: Volume Ratio</w:t>
      </w:r>
    </w:p>
    <w:p w14:paraId="08D3DC92" w14:textId="77777777" w:rsidR="00A207B5" w:rsidRDefault="00A207B5" w:rsidP="00283F45">
      <w:pPr>
        <w:pStyle w:val="Heading1"/>
      </w:pPr>
      <w:r w:rsidRPr="00283F45">
        <w:t>Introduction</w:t>
      </w:r>
    </w:p>
    <w:p w14:paraId="42C1817D" w14:textId="77777777" w:rsidR="008E6A8B" w:rsidRPr="008E6A8B" w:rsidRDefault="00B9541D" w:rsidP="00B9541D">
      <w:r w:rsidRPr="00B9541D">
        <w:t>Two- and three-dimensional parameters of organisms (i.e., surface area and volume) do not necessarily increase or decrease proportionally to increases or decreases in one-dimensional, or linear, parameters (i.e., length). For example, the greater the diameter of a single-celled organism, the less surface area it has relative to its volume. The surface area to volume ratio is a way of expressing the relationship between these parameters as an organism's size changes.</w:t>
      </w:r>
    </w:p>
    <w:p w14:paraId="149177F2" w14:textId="77777777" w:rsidR="00283F45" w:rsidRDefault="00283F45" w:rsidP="00283F45">
      <w:pPr>
        <w:pStyle w:val="Heading1"/>
      </w:pPr>
      <w:r w:rsidRPr="00283F45">
        <w:t>Importance</w:t>
      </w:r>
    </w:p>
    <w:p w14:paraId="2BB34918" w14:textId="77777777" w:rsidR="008E6A8B" w:rsidRPr="008E6A8B" w:rsidRDefault="00341AE6" w:rsidP="00341AE6">
      <w:r w:rsidRPr="00341AE6">
        <w:t xml:space="preserve">Changes in the surface area to volume ratio have important implications for limits or constraints on organism </w:t>
      </w:r>
      <w:r w:rsidR="00DD60CE" w:rsidRPr="00341AE6">
        <w:t>size and</w:t>
      </w:r>
      <w:r w:rsidRPr="00341AE6">
        <w:t xml:space="preserve"> help explain some of the modifications seen in larger-bodied organisms.</w:t>
      </w:r>
    </w:p>
    <w:p w14:paraId="1807F0D1" w14:textId="77777777" w:rsidR="00283F45" w:rsidRDefault="00283F45" w:rsidP="00283F45">
      <w:pPr>
        <w:pStyle w:val="Heading1"/>
      </w:pPr>
      <w:r>
        <w:t>Questions</w:t>
      </w:r>
    </w:p>
    <w:p w14:paraId="03AE4644" w14:textId="77777777" w:rsidR="008E6A8B" w:rsidRPr="008E6A8B" w:rsidRDefault="005B40F5" w:rsidP="008E6A8B">
      <w:pPr>
        <w:rPr>
          <w:lang w:eastAsia="zh-CN"/>
        </w:rPr>
      </w:pPr>
      <w:r w:rsidRPr="005B40F5">
        <w:rPr>
          <w:lang w:eastAsia="zh-CN"/>
        </w:rPr>
        <w:t>How is the surface area to volume ratio calculated, and how exactly does it change with changing size? What modifications do larger organisms exhibit to get around this problem?</w:t>
      </w:r>
    </w:p>
    <w:p w14:paraId="4FCA44FE" w14:textId="77777777" w:rsidR="00283F45" w:rsidRDefault="00283F45" w:rsidP="00283F45">
      <w:pPr>
        <w:pStyle w:val="Heading1"/>
      </w:pPr>
      <w:r>
        <w:t>Variables</w:t>
      </w:r>
    </w:p>
    <w:tbl>
      <w:tblPr>
        <w:tblW w:w="38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572"/>
        <w:gridCol w:w="3283"/>
      </w:tblGrid>
      <w:tr w:rsidR="00E56871" w:rsidRPr="00E56871" w14:paraId="14C7A2D1" w14:textId="77777777" w:rsidTr="00E56871">
        <w:trPr>
          <w:tblCellSpacing w:w="15" w:type="dxa"/>
        </w:trPr>
        <w:tc>
          <w:tcPr>
            <w:tcW w:w="700" w:type="pct"/>
            <w:shd w:val="clear" w:color="auto" w:fill="FFFFFF"/>
            <w:hideMark/>
          </w:tcPr>
          <w:p w14:paraId="1DC59726" w14:textId="77777777" w:rsidR="00E56871" w:rsidRPr="00E56871" w:rsidRDefault="00E56871" w:rsidP="00E56871">
            <w:pPr>
              <w:pStyle w:val="TableContent"/>
              <w:rPr>
                <w:lang w:eastAsia="zh-CN"/>
              </w:rPr>
            </w:pPr>
            <w:r w:rsidRPr="00E56871">
              <w:rPr>
                <w:lang w:eastAsia="zh-CN"/>
              </w:rPr>
              <w:t>S</w:t>
            </w:r>
          </w:p>
        </w:tc>
        <w:tc>
          <w:tcPr>
            <w:tcW w:w="4300" w:type="pct"/>
            <w:shd w:val="clear" w:color="auto" w:fill="FFFFFF"/>
            <w:hideMark/>
          </w:tcPr>
          <w:p w14:paraId="40443C3C" w14:textId="77777777" w:rsidR="00E56871" w:rsidRPr="00E56871" w:rsidRDefault="00E56871" w:rsidP="00E56871">
            <w:pPr>
              <w:pStyle w:val="TableContent"/>
              <w:rPr>
                <w:lang w:eastAsia="zh-CN"/>
              </w:rPr>
            </w:pPr>
            <w:r w:rsidRPr="00E56871">
              <w:rPr>
                <w:lang w:eastAsia="zh-CN"/>
              </w:rPr>
              <w:t>surface area (units squared)</w:t>
            </w:r>
          </w:p>
        </w:tc>
      </w:tr>
      <w:tr w:rsidR="00E56871" w:rsidRPr="00E56871" w14:paraId="14FC538E" w14:textId="77777777" w:rsidTr="00E56871">
        <w:trPr>
          <w:tblCellSpacing w:w="15" w:type="dxa"/>
        </w:trPr>
        <w:tc>
          <w:tcPr>
            <w:tcW w:w="700" w:type="pct"/>
            <w:shd w:val="clear" w:color="auto" w:fill="FFFFFF"/>
            <w:hideMark/>
          </w:tcPr>
          <w:p w14:paraId="49BDD74F" w14:textId="77777777" w:rsidR="00E56871" w:rsidRPr="00E56871" w:rsidRDefault="00E56871" w:rsidP="00E56871">
            <w:pPr>
              <w:pStyle w:val="TableContent"/>
              <w:rPr>
                <w:lang w:eastAsia="zh-CN"/>
              </w:rPr>
            </w:pPr>
            <w:r w:rsidRPr="00E56871">
              <w:rPr>
                <w:lang w:eastAsia="zh-CN"/>
              </w:rPr>
              <w:t>V</w:t>
            </w:r>
          </w:p>
        </w:tc>
        <w:tc>
          <w:tcPr>
            <w:tcW w:w="4300" w:type="pct"/>
            <w:shd w:val="clear" w:color="auto" w:fill="FFFFFF"/>
            <w:hideMark/>
          </w:tcPr>
          <w:p w14:paraId="12F9D20F" w14:textId="77777777" w:rsidR="00E56871" w:rsidRPr="00E56871" w:rsidRDefault="00E56871" w:rsidP="00E56871">
            <w:pPr>
              <w:pStyle w:val="TableContent"/>
              <w:rPr>
                <w:lang w:eastAsia="zh-CN"/>
              </w:rPr>
            </w:pPr>
            <w:r w:rsidRPr="00E56871">
              <w:rPr>
                <w:lang w:eastAsia="zh-CN"/>
              </w:rPr>
              <w:t>volume (units cubed)</w:t>
            </w:r>
          </w:p>
        </w:tc>
      </w:tr>
      <w:tr w:rsidR="00E56871" w:rsidRPr="00E56871" w14:paraId="06113178" w14:textId="77777777" w:rsidTr="00E56871">
        <w:trPr>
          <w:tblCellSpacing w:w="15" w:type="dxa"/>
        </w:trPr>
        <w:tc>
          <w:tcPr>
            <w:tcW w:w="700" w:type="pct"/>
            <w:shd w:val="clear" w:color="auto" w:fill="FFFFFF"/>
            <w:hideMark/>
          </w:tcPr>
          <w:p w14:paraId="2F1E3AB7" w14:textId="77777777" w:rsidR="00E56871" w:rsidRPr="00E56871" w:rsidRDefault="00E56871" w:rsidP="00E56871">
            <w:pPr>
              <w:pStyle w:val="TableContent"/>
              <w:rPr>
                <w:lang w:eastAsia="zh-CN"/>
              </w:rPr>
            </w:pPr>
            <w:r w:rsidRPr="00E56871">
              <w:rPr>
                <w:lang w:eastAsia="zh-CN"/>
              </w:rPr>
              <w:t>l</w:t>
            </w:r>
          </w:p>
        </w:tc>
        <w:tc>
          <w:tcPr>
            <w:tcW w:w="4300" w:type="pct"/>
            <w:shd w:val="clear" w:color="auto" w:fill="FFFFFF"/>
            <w:hideMark/>
          </w:tcPr>
          <w:p w14:paraId="35BF46F0" w14:textId="77777777" w:rsidR="00E56871" w:rsidRPr="00E56871" w:rsidRDefault="00E56871" w:rsidP="00E56871">
            <w:pPr>
              <w:pStyle w:val="TableContent"/>
              <w:rPr>
                <w:lang w:eastAsia="zh-CN"/>
              </w:rPr>
            </w:pPr>
            <w:r w:rsidRPr="00E56871">
              <w:rPr>
                <w:lang w:eastAsia="zh-CN"/>
              </w:rPr>
              <w:t>length (units)</w:t>
            </w:r>
          </w:p>
        </w:tc>
      </w:tr>
      <w:tr w:rsidR="00E56871" w:rsidRPr="00E56871" w14:paraId="5F913A09" w14:textId="77777777" w:rsidTr="00E56871">
        <w:trPr>
          <w:tblCellSpacing w:w="15" w:type="dxa"/>
        </w:trPr>
        <w:tc>
          <w:tcPr>
            <w:tcW w:w="700" w:type="pct"/>
            <w:shd w:val="clear" w:color="auto" w:fill="FFFFFF"/>
            <w:hideMark/>
          </w:tcPr>
          <w:p w14:paraId="5CA3789F" w14:textId="77777777" w:rsidR="00E56871" w:rsidRPr="00E56871" w:rsidRDefault="00E56871" w:rsidP="00E56871">
            <w:pPr>
              <w:pStyle w:val="TableContent"/>
              <w:rPr>
                <w:lang w:eastAsia="zh-CN"/>
              </w:rPr>
            </w:pPr>
            <w:r w:rsidRPr="00E56871">
              <w:rPr>
                <w:lang w:eastAsia="zh-CN"/>
              </w:rPr>
              <w:t>r</w:t>
            </w:r>
          </w:p>
        </w:tc>
        <w:tc>
          <w:tcPr>
            <w:tcW w:w="4300" w:type="pct"/>
            <w:shd w:val="clear" w:color="auto" w:fill="FFFFFF"/>
            <w:hideMark/>
          </w:tcPr>
          <w:p w14:paraId="0657562A" w14:textId="77777777" w:rsidR="00E56871" w:rsidRPr="00E56871" w:rsidRDefault="00E56871" w:rsidP="00E56871">
            <w:pPr>
              <w:pStyle w:val="TableContent"/>
              <w:rPr>
                <w:lang w:eastAsia="zh-CN"/>
              </w:rPr>
            </w:pPr>
            <w:r w:rsidRPr="00E56871">
              <w:rPr>
                <w:lang w:eastAsia="zh-CN"/>
              </w:rPr>
              <w:t>radius (units)</w:t>
            </w:r>
          </w:p>
        </w:tc>
      </w:tr>
    </w:tbl>
    <w:p w14:paraId="616C4E9F" w14:textId="77777777" w:rsidR="008E6A8B" w:rsidRPr="008E6A8B" w:rsidRDefault="008E6A8B" w:rsidP="008E6A8B"/>
    <w:p w14:paraId="1311246C" w14:textId="77777777" w:rsidR="00283F45" w:rsidRDefault="00283F45" w:rsidP="00283F45">
      <w:pPr>
        <w:pStyle w:val="Heading1"/>
      </w:pPr>
      <w:r>
        <w:t>Methods</w:t>
      </w:r>
    </w:p>
    <w:p w14:paraId="13AF03FA" w14:textId="77777777" w:rsidR="00F83087" w:rsidRPr="00F83087" w:rsidRDefault="00F83087" w:rsidP="00F83087">
      <w:pPr>
        <w:rPr>
          <w:lang w:eastAsia="zh-CN"/>
        </w:rPr>
      </w:pPr>
      <w:r w:rsidRPr="00F83087">
        <w:rPr>
          <w:lang w:eastAsia="zh-CN"/>
        </w:rPr>
        <w:t xml:space="preserve">For a single-celled organism (or a cell in a multicellular organism's body, for that matter), the surface is a critical interface between the organism/cell and its environment. Exchange of materials often occurs through the process of diffusion, in which dissolved molecules or other particles move from areas of higher concentration to areas of lower concentration (although some exchange is mediated by cellular mechanisms). This type of exchange is a passive process, and as a result imposes constraints upon the size of a single-celled organism or cell. Materials must be able to </w:t>
      </w:r>
      <w:r w:rsidRPr="00F83087">
        <w:rPr>
          <w:lang w:eastAsia="zh-CN"/>
        </w:rPr>
        <w:lastRenderedPageBreak/>
        <w:t>reach all parts of a cell quickly, and when volume is too large relative to surface area, diffusion cannot occur at sufficiently high rates to ensure this.</w:t>
      </w:r>
    </w:p>
    <w:p w14:paraId="3C383EE6" w14:textId="77777777" w:rsidR="00F83087" w:rsidRDefault="00F83087" w:rsidP="00F83087">
      <w:pPr>
        <w:rPr>
          <w:lang w:eastAsia="zh-CN"/>
        </w:rPr>
      </w:pPr>
      <w:r w:rsidRPr="00F83087">
        <w:rPr>
          <w:lang w:eastAsia="zh-CN"/>
        </w:rPr>
        <w:t>We'll begin with a reminder of some basic geometric formulae. The surface area and volume of a cube can be found with the following 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3087" w14:paraId="6E63DB98" w14:textId="77777777" w:rsidTr="00D55599">
        <w:tc>
          <w:tcPr>
            <w:tcW w:w="4675" w:type="dxa"/>
            <w:vAlign w:val="center"/>
          </w:tcPr>
          <w:p w14:paraId="54D1D66B" w14:textId="77777777" w:rsidR="00F83087" w:rsidRDefault="00F83087" w:rsidP="00D55599">
            <w:pPr>
              <w:rPr>
                <w:lang w:eastAsia="zh-CN"/>
              </w:rPr>
            </w:pPr>
            <m:oMathPara>
              <m:oMath>
                <m:r>
                  <w:rPr>
                    <w:rFonts w:ascii="Cambria Math" w:hAnsi="Cambria Math"/>
                    <w:lang w:eastAsia="zh-CN"/>
                  </w:rPr>
                  <m:t>S=6</m:t>
                </m:r>
                <m:sSup>
                  <m:sSupPr>
                    <m:ctrlPr>
                      <w:rPr>
                        <w:rFonts w:ascii="Cambria Math" w:hAnsi="Cambria Math"/>
                        <w:i/>
                        <w:lang w:eastAsia="zh-CN"/>
                      </w:rPr>
                    </m:ctrlPr>
                  </m:sSupPr>
                  <m:e>
                    <m:r>
                      <w:rPr>
                        <w:rFonts w:ascii="Cambria Math" w:hAnsi="Cambria Math"/>
                        <w:lang w:eastAsia="zh-CN"/>
                      </w:rPr>
                      <m:t>l</m:t>
                    </m:r>
                  </m:e>
                  <m:sup>
                    <m:r>
                      <w:rPr>
                        <w:rFonts w:ascii="Cambria Math" w:hAnsi="Cambria Math"/>
                        <w:lang w:eastAsia="zh-CN"/>
                      </w:rPr>
                      <m:t>2</m:t>
                    </m:r>
                  </m:sup>
                </m:sSup>
                <m:r>
                  <w:rPr>
                    <w:rFonts w:ascii="Cambria Math" w:hAnsi="Cambria Math"/>
                    <w:lang w:eastAsia="zh-CN"/>
                  </w:rPr>
                  <m:t xml:space="preserve"> and V=</m:t>
                </m:r>
                <m:sSup>
                  <m:sSupPr>
                    <m:ctrlPr>
                      <w:rPr>
                        <w:rFonts w:ascii="Cambria Math" w:hAnsi="Cambria Math"/>
                        <w:i/>
                        <w:lang w:eastAsia="zh-CN"/>
                      </w:rPr>
                    </m:ctrlPr>
                  </m:sSupPr>
                  <m:e>
                    <m:r>
                      <w:rPr>
                        <w:rFonts w:ascii="Cambria Math" w:hAnsi="Cambria Math"/>
                        <w:lang w:eastAsia="zh-CN"/>
                      </w:rPr>
                      <m:t>l</m:t>
                    </m:r>
                  </m:e>
                  <m:sup>
                    <m:r>
                      <w:rPr>
                        <w:rFonts w:ascii="Cambria Math" w:hAnsi="Cambria Math"/>
                        <w:lang w:eastAsia="zh-CN"/>
                      </w:rPr>
                      <m:t>3</m:t>
                    </m:r>
                  </m:sup>
                </m:sSup>
              </m:oMath>
            </m:oMathPara>
          </w:p>
        </w:tc>
        <w:tc>
          <w:tcPr>
            <w:tcW w:w="4675" w:type="dxa"/>
            <w:vAlign w:val="center"/>
          </w:tcPr>
          <w:p w14:paraId="111BB10C" w14:textId="77777777" w:rsidR="00F83087" w:rsidRDefault="00F83087" w:rsidP="00D55599">
            <w:pPr>
              <w:rPr>
                <w:lang w:eastAsia="zh-CN"/>
              </w:rPr>
            </w:pPr>
            <w:r>
              <w:rPr>
                <w:lang w:eastAsia="zh-CN"/>
              </w:rPr>
              <w:t xml:space="preserve">LaTeX Code: </w:t>
            </w:r>
            <w:proofErr w:type="gramStart"/>
            <w:r>
              <w:rPr>
                <w:lang w:eastAsia="zh-CN"/>
              </w:rPr>
              <w:t>\[</w:t>
            </w:r>
            <w:proofErr w:type="gramEnd"/>
            <w:r>
              <w:rPr>
                <w:lang w:eastAsia="zh-CN"/>
              </w:rPr>
              <w:t xml:space="preserve"> S = 6 l^2 \text{</w:t>
            </w:r>
            <w:r w:rsidR="00850ABC">
              <w:rPr>
                <w:lang w:eastAsia="zh-CN"/>
              </w:rPr>
              <w:t>\</w:t>
            </w:r>
            <w:r>
              <w:rPr>
                <w:lang w:eastAsia="zh-CN"/>
              </w:rPr>
              <w:t xml:space="preserve"> and</w:t>
            </w:r>
            <w:r w:rsidR="00850ABC">
              <w:rPr>
                <w:lang w:eastAsia="zh-CN"/>
              </w:rPr>
              <w:t>\</w:t>
            </w:r>
            <w:r>
              <w:rPr>
                <w:lang w:eastAsia="zh-CN"/>
              </w:rPr>
              <w:t xml:space="preserve"> } V = l^3 \]</w:t>
            </w:r>
          </w:p>
        </w:tc>
      </w:tr>
    </w:tbl>
    <w:p w14:paraId="07EC45F1" w14:textId="77777777" w:rsidR="00F83087" w:rsidRPr="00F83087" w:rsidRDefault="00D55599" w:rsidP="00F83087">
      <w:pPr>
        <w:rPr>
          <w:lang w:eastAsia="zh-CN"/>
        </w:rPr>
      </w:pPr>
      <w:r w:rsidRPr="00F83087">
        <w:rPr>
          <w:lang w:eastAsia="zh-CN"/>
        </w:rPr>
        <w:t>W</w:t>
      </w:r>
      <w:r w:rsidR="00F83087" w:rsidRPr="00F83087">
        <w:rPr>
          <w:lang w:eastAsia="zh-CN"/>
        </w:rPr>
        <w:t>here</w:t>
      </w:r>
      <w:r>
        <w:rPr>
          <w:lang w:eastAsia="zh-CN"/>
        </w:rPr>
        <w:t xml:space="preserve"> </w:t>
      </w:r>
      <w:r w:rsidR="00F83087" w:rsidRPr="00F83087">
        <w:rPr>
          <w:i/>
          <w:iCs/>
          <w:lang w:eastAsia="zh-CN"/>
        </w:rPr>
        <w:t>S</w:t>
      </w:r>
      <w:r>
        <w:rPr>
          <w:lang w:eastAsia="zh-CN"/>
        </w:rPr>
        <w:t xml:space="preserve"> </w:t>
      </w:r>
      <w:r w:rsidR="00F83087" w:rsidRPr="00F83087">
        <w:rPr>
          <w:lang w:eastAsia="zh-CN"/>
        </w:rPr>
        <w:t>= surface area (in units squared),</w:t>
      </w:r>
      <w:r w:rsidR="00934FC9">
        <w:rPr>
          <w:lang w:eastAsia="zh-CN"/>
        </w:rPr>
        <w:t xml:space="preserve"> </w:t>
      </w:r>
      <w:r w:rsidR="00F83087" w:rsidRPr="00F83087">
        <w:rPr>
          <w:i/>
          <w:iCs/>
          <w:lang w:eastAsia="zh-CN"/>
        </w:rPr>
        <w:t>V</w:t>
      </w:r>
      <w:r w:rsidR="00934FC9">
        <w:rPr>
          <w:lang w:eastAsia="zh-CN"/>
        </w:rPr>
        <w:t xml:space="preserve"> </w:t>
      </w:r>
      <w:r w:rsidR="00F83087" w:rsidRPr="00F83087">
        <w:rPr>
          <w:lang w:eastAsia="zh-CN"/>
        </w:rPr>
        <w:t>= volume (in units cubed), and </w:t>
      </w:r>
      <w:r w:rsidR="00F83087" w:rsidRPr="00F83087">
        <w:rPr>
          <w:i/>
          <w:iCs/>
          <w:lang w:eastAsia="zh-CN"/>
        </w:rPr>
        <w:t>l</w:t>
      </w:r>
      <w:r w:rsidR="00F83087" w:rsidRPr="00F83087">
        <w:rPr>
          <w:lang w:eastAsia="zh-CN"/>
        </w:rPr>
        <w:t> = the length of one side of the cube.</w:t>
      </w:r>
    </w:p>
    <w:p w14:paraId="0E43DB70" w14:textId="77777777" w:rsidR="00F83087" w:rsidRPr="00F83087" w:rsidRDefault="00F83087" w:rsidP="00FD382B">
      <w:pPr>
        <w:jc w:val="center"/>
        <w:rPr>
          <w:lang w:eastAsia="zh-CN"/>
        </w:rPr>
      </w:pPr>
      <w:r w:rsidRPr="00F83087">
        <w:rPr>
          <w:lang w:eastAsia="zh-CN"/>
        </w:rPr>
        <w:fldChar w:fldCharType="begin"/>
      </w:r>
      <w:r w:rsidRPr="00F83087">
        <w:rPr>
          <w:lang w:eastAsia="zh-CN"/>
        </w:rPr>
        <w:instrText xml:space="preserve"> INCLUDEPICTURE "http://www.tiem.utk.edu/~gross/bioed/bealsmodules/area.cube.gif" \* MERGEFORMATINET </w:instrText>
      </w:r>
      <w:r w:rsidRPr="00F83087">
        <w:rPr>
          <w:lang w:eastAsia="zh-CN"/>
        </w:rPr>
        <w:fldChar w:fldCharType="separate"/>
      </w:r>
      <w:r w:rsidRPr="00F83087">
        <w:rPr>
          <w:noProof/>
          <w:lang w:eastAsia="zh-CN"/>
        </w:rPr>
        <w:drawing>
          <wp:inline distT="0" distB="0" distL="0" distR="0" wp14:anchorId="28509908" wp14:editId="370B8C3E">
            <wp:extent cx="3657600" cy="2383931"/>
            <wp:effectExtent l="0" t="0" r="0" b="0"/>
            <wp:docPr id="4" name="Picture 4" descr="http://www.tiem.utk.edu/~gross/bioed/bealsmodules/area.c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em.utk.edu/~gross/bioed/bealsmodules/area.cub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383931"/>
                    </a:xfrm>
                    <a:prstGeom prst="rect">
                      <a:avLst/>
                    </a:prstGeom>
                    <a:noFill/>
                    <a:ln>
                      <a:noFill/>
                    </a:ln>
                  </pic:spPr>
                </pic:pic>
              </a:graphicData>
            </a:graphic>
          </wp:inline>
        </w:drawing>
      </w:r>
      <w:r w:rsidRPr="00F83087">
        <w:rPr>
          <w:lang w:eastAsia="zh-CN"/>
        </w:rPr>
        <w:fldChar w:fldCharType="end"/>
      </w:r>
    </w:p>
    <w:p w14:paraId="5C460398" w14:textId="77777777" w:rsidR="00F83087" w:rsidRDefault="00F83087" w:rsidP="00F83087">
      <w:pPr>
        <w:rPr>
          <w:lang w:eastAsia="zh-CN"/>
        </w:rPr>
      </w:pPr>
      <w:r w:rsidRPr="00F83087">
        <w:rPr>
          <w:lang w:eastAsia="zh-CN"/>
        </w:rPr>
        <w:t>The equations for the surface area and volume of a sphere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7D6B" w14:paraId="3AC69EF1" w14:textId="77777777" w:rsidTr="00873FB7">
        <w:tc>
          <w:tcPr>
            <w:tcW w:w="4675" w:type="dxa"/>
            <w:vAlign w:val="center"/>
          </w:tcPr>
          <w:p w14:paraId="0504C8FF" w14:textId="77777777" w:rsidR="004D7D6B" w:rsidRDefault="004D7D6B" w:rsidP="00873FB7">
            <w:pPr>
              <w:rPr>
                <w:lang w:eastAsia="zh-CN"/>
              </w:rPr>
            </w:pPr>
            <m:oMathPara>
              <m:oMath>
                <m:r>
                  <w:rPr>
                    <w:rFonts w:ascii="Cambria Math" w:hAnsi="Cambria Math"/>
                    <w:lang w:eastAsia="zh-CN"/>
                  </w:rPr>
                  <m:t>S=4π</m:t>
                </m:r>
                <m:sSup>
                  <m:sSupPr>
                    <m:ctrlPr>
                      <w:rPr>
                        <w:rFonts w:ascii="Cambria Math" w:hAnsi="Cambria Math"/>
                        <w:i/>
                        <w:lang w:eastAsia="zh-CN"/>
                      </w:rPr>
                    </m:ctrlPr>
                  </m:sSupPr>
                  <m:e>
                    <m:r>
                      <w:rPr>
                        <w:rFonts w:ascii="Cambria Math" w:hAnsi="Cambria Math"/>
                        <w:lang w:eastAsia="zh-CN"/>
                      </w:rPr>
                      <m:t>r</m:t>
                    </m:r>
                  </m:e>
                  <m:sup>
                    <m:r>
                      <w:rPr>
                        <w:rFonts w:ascii="Cambria Math" w:hAnsi="Cambria Math"/>
                        <w:lang w:eastAsia="zh-CN"/>
                      </w:rPr>
                      <m:t>2</m:t>
                    </m:r>
                  </m:sup>
                </m:sSup>
                <m:r>
                  <w:rPr>
                    <w:rFonts w:ascii="Cambria Math" w:hAnsi="Cambria Math"/>
                    <w:lang w:eastAsia="zh-CN"/>
                  </w:rPr>
                  <m:t xml:space="preserve"> and V=</m:t>
                </m:r>
                <m:f>
                  <m:fPr>
                    <m:ctrlPr>
                      <w:rPr>
                        <w:rFonts w:ascii="Cambria Math" w:hAnsi="Cambria Math"/>
                        <w:i/>
                        <w:lang w:eastAsia="zh-CN"/>
                      </w:rPr>
                    </m:ctrlPr>
                  </m:fPr>
                  <m:num>
                    <m:r>
                      <w:rPr>
                        <w:rFonts w:ascii="Cambria Math" w:hAnsi="Cambria Math"/>
                        <w:lang w:eastAsia="zh-CN"/>
                      </w:rPr>
                      <m:t>4</m:t>
                    </m:r>
                    <m:sSup>
                      <m:sSupPr>
                        <m:ctrlPr>
                          <w:rPr>
                            <w:rFonts w:ascii="Cambria Math" w:hAnsi="Cambria Math"/>
                            <w:i/>
                            <w:lang w:eastAsia="zh-CN"/>
                          </w:rPr>
                        </m:ctrlPr>
                      </m:sSupPr>
                      <m:e>
                        <m:r>
                          <w:rPr>
                            <w:rFonts w:ascii="Cambria Math" w:hAnsi="Cambria Math"/>
                            <w:lang w:eastAsia="zh-CN"/>
                          </w:rPr>
                          <m:t>πr</m:t>
                        </m:r>
                      </m:e>
                      <m:sup>
                        <m:r>
                          <w:rPr>
                            <w:rFonts w:ascii="Cambria Math" w:hAnsi="Cambria Math"/>
                            <w:lang w:eastAsia="zh-CN"/>
                          </w:rPr>
                          <m:t>3</m:t>
                        </m:r>
                      </m:sup>
                    </m:sSup>
                  </m:num>
                  <m:den>
                    <m:r>
                      <w:rPr>
                        <w:rFonts w:ascii="Cambria Math" w:hAnsi="Cambria Math"/>
                        <w:lang w:eastAsia="zh-CN"/>
                      </w:rPr>
                      <m:t>3</m:t>
                    </m:r>
                  </m:den>
                </m:f>
              </m:oMath>
            </m:oMathPara>
          </w:p>
        </w:tc>
        <w:tc>
          <w:tcPr>
            <w:tcW w:w="4675" w:type="dxa"/>
            <w:vAlign w:val="center"/>
          </w:tcPr>
          <w:p w14:paraId="239F8BE5" w14:textId="77777777" w:rsidR="004D7D6B" w:rsidRDefault="004D7D6B" w:rsidP="00873FB7">
            <w:pPr>
              <w:rPr>
                <w:lang w:eastAsia="zh-CN"/>
              </w:rPr>
            </w:pPr>
            <w:r>
              <w:rPr>
                <w:lang w:eastAsia="zh-CN"/>
              </w:rPr>
              <w:t xml:space="preserve">LaTeX Code: </w:t>
            </w:r>
            <w:proofErr w:type="gramStart"/>
            <w:r>
              <w:rPr>
                <w:lang w:eastAsia="zh-CN"/>
              </w:rPr>
              <w:t>\[</w:t>
            </w:r>
            <w:proofErr w:type="gramEnd"/>
            <w:r>
              <w:rPr>
                <w:lang w:eastAsia="zh-CN"/>
              </w:rPr>
              <w:t xml:space="preserve"> S = </w:t>
            </w:r>
            <w:r w:rsidR="003436A2">
              <w:rPr>
                <w:lang w:eastAsia="zh-CN"/>
              </w:rPr>
              <w:t>4 \pi</w:t>
            </w:r>
            <w:r>
              <w:rPr>
                <w:lang w:eastAsia="zh-CN"/>
              </w:rPr>
              <w:t xml:space="preserve"> </w:t>
            </w:r>
            <w:r w:rsidR="003436A2">
              <w:rPr>
                <w:lang w:eastAsia="zh-CN"/>
              </w:rPr>
              <w:t>r</w:t>
            </w:r>
            <w:r>
              <w:rPr>
                <w:lang w:eastAsia="zh-CN"/>
              </w:rPr>
              <w:t xml:space="preserve">^2 \text{\ and\ } V = </w:t>
            </w:r>
            <w:r w:rsidR="00E4575E">
              <w:rPr>
                <w:lang w:eastAsia="zh-CN"/>
              </w:rPr>
              <w:t>\frac{4 \pi r^3}{3}</w:t>
            </w:r>
            <w:r>
              <w:rPr>
                <w:lang w:eastAsia="zh-CN"/>
              </w:rPr>
              <w:t xml:space="preserve"> \]</w:t>
            </w:r>
          </w:p>
        </w:tc>
      </w:tr>
    </w:tbl>
    <w:p w14:paraId="70CC59B7" w14:textId="77777777" w:rsidR="00F83087" w:rsidRPr="00F83087" w:rsidRDefault="002F19B2" w:rsidP="00F83087">
      <w:pPr>
        <w:rPr>
          <w:lang w:eastAsia="zh-CN"/>
        </w:rPr>
      </w:pPr>
      <w:r>
        <w:rPr>
          <w:lang w:eastAsia="zh-CN"/>
        </w:rPr>
        <w:t>where</w:t>
      </w:r>
      <w:r w:rsidR="00CA24E6">
        <w:rPr>
          <w:lang w:eastAsia="zh-CN"/>
        </w:rPr>
        <w:t xml:space="preserve"> </w:t>
      </w:r>
      <w:r w:rsidR="00F83087" w:rsidRPr="00F83087">
        <w:rPr>
          <w:i/>
          <w:iCs/>
          <w:lang w:eastAsia="zh-CN"/>
        </w:rPr>
        <w:t>r</w:t>
      </w:r>
      <w:r w:rsidR="00CA24E6">
        <w:rPr>
          <w:lang w:eastAsia="zh-CN"/>
        </w:rPr>
        <w:t xml:space="preserve"> </w:t>
      </w:r>
      <w:r w:rsidR="00F83087" w:rsidRPr="00F83087">
        <w:rPr>
          <w:lang w:eastAsia="zh-CN"/>
        </w:rPr>
        <w:t>is the radius of the sphere.</w:t>
      </w:r>
    </w:p>
    <w:p w14:paraId="6A9ABD56" w14:textId="77777777" w:rsidR="00F83087" w:rsidRPr="00F83087" w:rsidRDefault="00F83087" w:rsidP="00911E45">
      <w:pPr>
        <w:jc w:val="center"/>
        <w:rPr>
          <w:lang w:eastAsia="zh-CN"/>
        </w:rPr>
      </w:pPr>
      <w:r w:rsidRPr="00F83087">
        <w:rPr>
          <w:lang w:eastAsia="zh-CN"/>
        </w:rPr>
        <w:fldChar w:fldCharType="begin"/>
      </w:r>
      <w:r w:rsidRPr="00F83087">
        <w:rPr>
          <w:lang w:eastAsia="zh-CN"/>
        </w:rPr>
        <w:instrText xml:space="preserve"> INCLUDEPICTURE "http://www.tiem.utk.edu/~gross/bioed/bealsmodules/area.sphere.gif" \* MERGEFORMATINET </w:instrText>
      </w:r>
      <w:r w:rsidRPr="00F83087">
        <w:rPr>
          <w:lang w:eastAsia="zh-CN"/>
        </w:rPr>
        <w:fldChar w:fldCharType="separate"/>
      </w:r>
      <w:r w:rsidRPr="00F83087">
        <w:rPr>
          <w:noProof/>
          <w:lang w:eastAsia="zh-CN"/>
        </w:rPr>
        <w:drawing>
          <wp:inline distT="0" distB="0" distL="0" distR="0" wp14:anchorId="510FF32D" wp14:editId="6BF0D837">
            <wp:extent cx="3657489" cy="2227634"/>
            <wp:effectExtent l="0" t="0" r="0" b="0"/>
            <wp:docPr id="1" name="Picture 1" descr="http://www.tiem.utk.edu/~gross/bioed/bealsmodules/area.sp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iem.utk.edu/~gross/bioed/bealsmodules/area.sphere.gif"/>
                    <pic:cNvPicPr>
                      <a:picLocks noChangeAspect="1" noChangeArrowheads="1"/>
                    </pic:cNvPicPr>
                  </pic:nvPicPr>
                  <pic:blipFill rotWithShape="1">
                    <a:blip r:embed="rId7">
                      <a:extLst>
                        <a:ext uri="{28A0092B-C50C-407E-A947-70E740481C1C}">
                          <a14:useLocalDpi xmlns:a14="http://schemas.microsoft.com/office/drawing/2010/main" val="0"/>
                        </a:ext>
                      </a:extLst>
                    </a:blip>
                    <a:srcRect b="9515"/>
                    <a:stretch/>
                  </pic:blipFill>
                  <pic:spPr bwMode="auto">
                    <a:xfrm>
                      <a:off x="0" y="0"/>
                      <a:ext cx="3657600" cy="2227702"/>
                    </a:xfrm>
                    <a:prstGeom prst="rect">
                      <a:avLst/>
                    </a:prstGeom>
                    <a:noFill/>
                    <a:ln>
                      <a:noFill/>
                    </a:ln>
                    <a:extLst>
                      <a:ext uri="{53640926-AAD7-44D8-BBD7-CCE9431645EC}">
                        <a14:shadowObscured xmlns:a14="http://schemas.microsoft.com/office/drawing/2010/main"/>
                      </a:ext>
                    </a:extLst>
                  </pic:spPr>
                </pic:pic>
              </a:graphicData>
            </a:graphic>
          </wp:inline>
        </w:drawing>
      </w:r>
      <w:r w:rsidRPr="00F83087">
        <w:rPr>
          <w:lang w:eastAsia="zh-CN"/>
        </w:rPr>
        <w:fldChar w:fldCharType="end"/>
      </w:r>
    </w:p>
    <w:p w14:paraId="4D5E6FD2" w14:textId="77777777" w:rsidR="008E6A8B" w:rsidRPr="00F83087" w:rsidRDefault="00F83087" w:rsidP="00F83087">
      <w:pPr>
        <w:rPr>
          <w:color w:val="auto"/>
          <w:sz w:val="24"/>
          <w:szCs w:val="24"/>
          <w:lang w:eastAsia="zh-CN"/>
        </w:rPr>
      </w:pPr>
      <w:r w:rsidRPr="00F83087">
        <w:rPr>
          <w:lang w:eastAsia="zh-CN"/>
        </w:rPr>
        <w:lastRenderedPageBreak/>
        <w:t>Notice that for any increase,</w:t>
      </w:r>
      <w:r w:rsidR="00420AA2">
        <w:rPr>
          <w:lang w:eastAsia="zh-CN"/>
        </w:rPr>
        <w:t xml:space="preserve"> </w:t>
      </w:r>
      <w:r w:rsidRPr="00F83087">
        <w:rPr>
          <w:i/>
          <w:iCs/>
          <w:lang w:eastAsia="zh-CN"/>
        </w:rPr>
        <w:t>x</w:t>
      </w:r>
      <w:r w:rsidR="00420AA2">
        <w:rPr>
          <w:i/>
          <w:iCs/>
          <w:lang w:eastAsia="zh-CN"/>
        </w:rPr>
        <w:t xml:space="preserve"> </w:t>
      </w:r>
      <w:r w:rsidRPr="00F83087">
        <w:rPr>
          <w:lang w:eastAsia="zh-CN"/>
        </w:rPr>
        <w:t>*</w:t>
      </w:r>
      <w:r w:rsidR="00420AA2">
        <w:rPr>
          <w:lang w:eastAsia="zh-CN"/>
        </w:rPr>
        <w:t xml:space="preserve"> </w:t>
      </w:r>
      <w:r w:rsidRPr="00F83087">
        <w:rPr>
          <w:i/>
          <w:iCs/>
          <w:lang w:eastAsia="zh-CN"/>
        </w:rPr>
        <w:t>l</w:t>
      </w:r>
      <w:r w:rsidR="00420AA2">
        <w:rPr>
          <w:lang w:eastAsia="zh-CN"/>
        </w:rPr>
        <w:t xml:space="preserve"> </w:t>
      </w:r>
      <w:r w:rsidRPr="00F83087">
        <w:rPr>
          <w:lang w:eastAsia="zh-CN"/>
        </w:rPr>
        <w:t>or</w:t>
      </w:r>
      <w:r w:rsidR="00420AA2">
        <w:rPr>
          <w:lang w:eastAsia="zh-CN"/>
        </w:rPr>
        <w:t xml:space="preserve"> </w:t>
      </w:r>
      <w:r w:rsidRPr="00F83087">
        <w:rPr>
          <w:i/>
          <w:iCs/>
          <w:lang w:eastAsia="zh-CN"/>
        </w:rPr>
        <w:t>x</w:t>
      </w:r>
      <w:r w:rsidR="00420AA2">
        <w:rPr>
          <w:lang w:eastAsia="zh-CN"/>
        </w:rPr>
        <w:t xml:space="preserve"> </w:t>
      </w:r>
      <w:r w:rsidRPr="00F83087">
        <w:rPr>
          <w:lang w:eastAsia="zh-CN"/>
        </w:rPr>
        <w:t>*</w:t>
      </w:r>
      <w:r w:rsidR="00420AA2">
        <w:rPr>
          <w:lang w:eastAsia="zh-CN"/>
        </w:rPr>
        <w:t xml:space="preserve"> </w:t>
      </w:r>
      <w:r w:rsidRPr="00F83087">
        <w:rPr>
          <w:i/>
          <w:iCs/>
          <w:lang w:eastAsia="zh-CN"/>
        </w:rPr>
        <w:t>r</w:t>
      </w:r>
      <w:r w:rsidRPr="00F83087">
        <w:rPr>
          <w:lang w:eastAsia="zh-CN"/>
        </w:rPr>
        <w:t>, in length or radius, the increase in surface area is</w:t>
      </w:r>
      <w:r w:rsidR="00DE29F6">
        <w:rPr>
          <w:lang w:eastAsia="zh-CN"/>
        </w:rPr>
        <w:t xml:space="preserve"> </w:t>
      </w:r>
      <w:r w:rsidRPr="00F83087">
        <w:rPr>
          <w:i/>
          <w:iCs/>
          <w:lang w:eastAsia="zh-CN"/>
        </w:rPr>
        <w:t>x</w:t>
      </w:r>
      <w:r w:rsidR="00DE29F6">
        <w:rPr>
          <w:lang w:eastAsia="zh-CN"/>
        </w:rPr>
        <w:t xml:space="preserve"> </w:t>
      </w:r>
      <w:r w:rsidRPr="00F83087">
        <w:rPr>
          <w:lang w:eastAsia="zh-CN"/>
        </w:rPr>
        <w:t>squared (</w:t>
      </w:r>
      <w:r w:rsidRPr="00F83087">
        <w:rPr>
          <w:i/>
          <w:iCs/>
          <w:lang w:eastAsia="zh-CN"/>
        </w:rPr>
        <w:t>x</w:t>
      </w:r>
      <w:r w:rsidRPr="00F83087">
        <w:rPr>
          <w:vertAlign w:val="superscript"/>
          <w:lang w:eastAsia="zh-CN"/>
        </w:rPr>
        <w:t>2</w:t>
      </w:r>
      <w:r w:rsidRPr="00F83087">
        <w:rPr>
          <w:lang w:eastAsia="zh-CN"/>
        </w:rPr>
        <w:t>) and the increase in volume is</w:t>
      </w:r>
      <w:r w:rsidR="00DE29F6">
        <w:rPr>
          <w:lang w:eastAsia="zh-CN"/>
        </w:rPr>
        <w:t xml:space="preserve"> </w:t>
      </w:r>
      <w:r w:rsidRPr="00F83087">
        <w:rPr>
          <w:i/>
          <w:iCs/>
          <w:lang w:eastAsia="zh-CN"/>
        </w:rPr>
        <w:t>x</w:t>
      </w:r>
      <w:r w:rsidR="00DE29F6">
        <w:rPr>
          <w:lang w:eastAsia="zh-CN"/>
        </w:rPr>
        <w:t xml:space="preserve"> </w:t>
      </w:r>
      <w:r w:rsidRPr="00F83087">
        <w:rPr>
          <w:lang w:eastAsia="zh-CN"/>
        </w:rPr>
        <w:t>cubed (</w:t>
      </w:r>
      <w:r w:rsidRPr="00F83087">
        <w:rPr>
          <w:i/>
          <w:iCs/>
          <w:lang w:eastAsia="zh-CN"/>
        </w:rPr>
        <w:t>x</w:t>
      </w:r>
      <w:r w:rsidRPr="00F83087">
        <w:rPr>
          <w:vertAlign w:val="superscript"/>
          <w:lang w:eastAsia="zh-CN"/>
        </w:rPr>
        <w:t>3</w:t>
      </w:r>
      <w:r w:rsidRPr="00F83087">
        <w:rPr>
          <w:lang w:eastAsia="zh-CN"/>
        </w:rPr>
        <w:t>). For example, when length is doubled (i.e.,</w:t>
      </w:r>
      <w:r w:rsidR="00142DFF">
        <w:rPr>
          <w:lang w:eastAsia="zh-CN"/>
        </w:rPr>
        <w:t xml:space="preserve"> </w:t>
      </w:r>
      <w:r w:rsidRPr="00F83087">
        <w:rPr>
          <w:i/>
          <w:iCs/>
          <w:lang w:eastAsia="zh-CN"/>
        </w:rPr>
        <w:t>x</w:t>
      </w:r>
      <w:r w:rsidR="00142DFF">
        <w:rPr>
          <w:lang w:eastAsia="zh-CN"/>
        </w:rPr>
        <w:t xml:space="preserve"> </w:t>
      </w:r>
      <w:r w:rsidRPr="00F83087">
        <w:rPr>
          <w:lang w:eastAsia="zh-CN"/>
        </w:rPr>
        <w:t>= 2) surface area is</w:t>
      </w:r>
      <w:r w:rsidR="00DE29F6">
        <w:rPr>
          <w:lang w:eastAsia="zh-CN"/>
        </w:rPr>
        <w:t xml:space="preserve"> </w:t>
      </w:r>
      <w:r w:rsidRPr="00F83087">
        <w:rPr>
          <w:i/>
          <w:iCs/>
          <w:lang w:eastAsia="zh-CN"/>
        </w:rPr>
        <w:t>quadrupled</w:t>
      </w:r>
      <w:r w:rsidR="00DE29F6">
        <w:rPr>
          <w:lang w:eastAsia="zh-CN"/>
        </w:rPr>
        <w:t xml:space="preserve"> </w:t>
      </w:r>
      <w:r w:rsidRPr="00F83087">
        <w:rPr>
          <w:lang w:eastAsia="zh-CN"/>
        </w:rPr>
        <w:t>(2</w:t>
      </w:r>
      <w:r w:rsidRPr="00F83087">
        <w:rPr>
          <w:vertAlign w:val="superscript"/>
          <w:lang w:eastAsia="zh-CN"/>
        </w:rPr>
        <w:t>2</w:t>
      </w:r>
      <w:r w:rsidR="00DE29F6">
        <w:rPr>
          <w:lang w:eastAsia="zh-CN"/>
        </w:rPr>
        <w:t xml:space="preserve"> </w:t>
      </w:r>
      <w:r w:rsidRPr="00F83087">
        <w:rPr>
          <w:lang w:eastAsia="zh-CN"/>
        </w:rPr>
        <w:t>= 4) not doubled, and volume is</w:t>
      </w:r>
      <w:r w:rsidR="00142DFF">
        <w:rPr>
          <w:lang w:eastAsia="zh-CN"/>
        </w:rPr>
        <w:t xml:space="preserve"> </w:t>
      </w:r>
      <w:proofErr w:type="spellStart"/>
      <w:r w:rsidRPr="00F83087">
        <w:rPr>
          <w:i/>
          <w:iCs/>
          <w:lang w:eastAsia="zh-CN"/>
        </w:rPr>
        <w:t>octupled</w:t>
      </w:r>
      <w:proofErr w:type="spellEnd"/>
      <w:r w:rsidR="00142DFF">
        <w:rPr>
          <w:lang w:eastAsia="zh-CN"/>
        </w:rPr>
        <w:t xml:space="preserve"> </w:t>
      </w:r>
      <w:r w:rsidRPr="00F83087">
        <w:rPr>
          <w:lang w:eastAsia="zh-CN"/>
        </w:rPr>
        <w:t>(2</w:t>
      </w:r>
      <w:r w:rsidRPr="00F83087">
        <w:rPr>
          <w:vertAlign w:val="superscript"/>
          <w:lang w:eastAsia="zh-CN"/>
        </w:rPr>
        <w:t>3</w:t>
      </w:r>
      <w:r w:rsidR="00142DFF">
        <w:rPr>
          <w:lang w:eastAsia="zh-CN"/>
        </w:rPr>
        <w:t xml:space="preserve"> </w:t>
      </w:r>
      <w:r w:rsidRPr="00F83087">
        <w:rPr>
          <w:lang w:eastAsia="zh-CN"/>
        </w:rPr>
        <w:t xml:space="preserve">= 8) not tripled. </w:t>
      </w:r>
      <w:r w:rsidR="00142DFF" w:rsidRPr="00F83087">
        <w:rPr>
          <w:lang w:eastAsia="zh-CN"/>
        </w:rPr>
        <w:t>Similarly,</w:t>
      </w:r>
      <w:r w:rsidRPr="00F83087">
        <w:rPr>
          <w:lang w:eastAsia="zh-CN"/>
        </w:rPr>
        <w:t xml:space="preserve"> when length is tripled (</w:t>
      </w:r>
      <w:r w:rsidRPr="00F83087">
        <w:rPr>
          <w:i/>
          <w:iCs/>
          <w:lang w:eastAsia="zh-CN"/>
        </w:rPr>
        <w:t>x</w:t>
      </w:r>
      <w:r w:rsidR="00006684">
        <w:rPr>
          <w:lang w:eastAsia="zh-CN"/>
        </w:rPr>
        <w:t xml:space="preserve"> </w:t>
      </w:r>
      <w:r w:rsidRPr="00F83087">
        <w:rPr>
          <w:lang w:eastAsia="zh-CN"/>
        </w:rPr>
        <w:t xml:space="preserve">= 3) surface area is increased </w:t>
      </w:r>
      <w:proofErr w:type="spellStart"/>
      <w:r w:rsidR="00D047AB" w:rsidRPr="00F83087">
        <w:rPr>
          <w:lang w:eastAsia="zh-CN"/>
        </w:rPr>
        <w:t>ninefold</w:t>
      </w:r>
      <w:proofErr w:type="spellEnd"/>
      <w:r w:rsidRPr="00F83087">
        <w:rPr>
          <w:lang w:eastAsia="zh-CN"/>
        </w:rPr>
        <w:t xml:space="preserve"> (3</w:t>
      </w:r>
      <w:r w:rsidRPr="00F83087">
        <w:rPr>
          <w:vertAlign w:val="superscript"/>
          <w:lang w:eastAsia="zh-CN"/>
        </w:rPr>
        <w:t>2</w:t>
      </w:r>
      <w:r w:rsidR="00142DFF">
        <w:rPr>
          <w:lang w:eastAsia="zh-CN"/>
        </w:rPr>
        <w:t xml:space="preserve"> </w:t>
      </w:r>
      <w:r w:rsidRPr="00F83087">
        <w:rPr>
          <w:lang w:eastAsia="zh-CN"/>
        </w:rPr>
        <w:t>= 9) and volume is increased twenty-sevenfold (3</w:t>
      </w:r>
      <w:r w:rsidRPr="00F83087">
        <w:rPr>
          <w:vertAlign w:val="superscript"/>
          <w:lang w:eastAsia="zh-CN"/>
        </w:rPr>
        <w:t>3</w:t>
      </w:r>
      <w:r w:rsidR="00006684">
        <w:rPr>
          <w:lang w:eastAsia="zh-CN"/>
        </w:rPr>
        <w:t xml:space="preserve"> </w:t>
      </w:r>
      <w:r w:rsidRPr="00F83087">
        <w:rPr>
          <w:lang w:eastAsia="zh-CN"/>
        </w:rPr>
        <w:t>= 27). The increase in volume is always greater than the increase in surface area. This is true for cubes, spheres, or any other object whose size is increased without changing its shape.</w:t>
      </w:r>
    </w:p>
    <w:p w14:paraId="3AF4B47D" w14:textId="77777777" w:rsidR="00283F45" w:rsidRDefault="00283F45" w:rsidP="00283F45">
      <w:pPr>
        <w:pStyle w:val="Heading1"/>
      </w:pPr>
      <w:r w:rsidRPr="00283F45">
        <w:t>Interpretation</w:t>
      </w:r>
    </w:p>
    <w:p w14:paraId="58BCFA26" w14:textId="77777777" w:rsidR="009416EF" w:rsidRPr="009416EF" w:rsidRDefault="009416EF" w:rsidP="009416EF">
      <w:pPr>
        <w:rPr>
          <w:lang w:eastAsia="zh-CN"/>
        </w:rPr>
      </w:pPr>
      <w:r w:rsidRPr="009416EF">
        <w:rPr>
          <w:lang w:eastAsia="zh-CN"/>
        </w:rPr>
        <w:t>Each point on the graph below represents the surface area and volume for cubes that are increasing by one unit in length, starting with a cube with</w:t>
      </w:r>
      <w:r w:rsidR="000C5A86">
        <w:rPr>
          <w:lang w:eastAsia="zh-CN"/>
        </w:rPr>
        <w:t xml:space="preserve"> </w:t>
      </w:r>
      <w:r w:rsidRPr="009416EF">
        <w:rPr>
          <w:i/>
          <w:iCs/>
          <w:lang w:eastAsia="zh-CN"/>
        </w:rPr>
        <w:t>l</w:t>
      </w:r>
      <w:r w:rsidR="000C5A86">
        <w:rPr>
          <w:lang w:eastAsia="zh-CN"/>
        </w:rPr>
        <w:t xml:space="preserve"> </w:t>
      </w:r>
      <w:r w:rsidRPr="009416EF">
        <w:rPr>
          <w:lang w:eastAsia="zh-CN"/>
        </w:rPr>
        <w:t>= 1. The larger orange dot is the size of the cube (</w:t>
      </w:r>
      <w:r w:rsidRPr="009416EF">
        <w:rPr>
          <w:i/>
          <w:iCs/>
          <w:lang w:eastAsia="zh-CN"/>
        </w:rPr>
        <w:t>l</w:t>
      </w:r>
      <w:r w:rsidR="000C5A86">
        <w:rPr>
          <w:lang w:eastAsia="zh-CN"/>
        </w:rPr>
        <w:t xml:space="preserve"> </w:t>
      </w:r>
      <w:r w:rsidRPr="009416EF">
        <w:rPr>
          <w:lang w:eastAsia="zh-CN"/>
        </w:rPr>
        <w:t>= 6) at which surface area and volume have equal values (although the units are different</w:t>
      </w:r>
      <w:r w:rsidR="0022061E">
        <w:rPr>
          <w:lang w:eastAsia="zh-CN"/>
        </w:rPr>
        <w:t>:</w:t>
      </w:r>
      <w:r w:rsidRPr="009416EF">
        <w:rPr>
          <w:lang w:eastAsia="zh-CN"/>
        </w:rPr>
        <w:t xml:space="preserve"> one is units</w:t>
      </w:r>
      <w:r w:rsidRPr="009416EF">
        <w:rPr>
          <w:vertAlign w:val="superscript"/>
          <w:lang w:eastAsia="zh-CN"/>
        </w:rPr>
        <w:t>2</w:t>
      </w:r>
      <w:r w:rsidR="002C1AFF">
        <w:rPr>
          <w:lang w:eastAsia="zh-CN"/>
        </w:rPr>
        <w:t xml:space="preserve"> </w:t>
      </w:r>
      <w:r w:rsidRPr="009416EF">
        <w:rPr>
          <w:lang w:eastAsia="zh-CN"/>
        </w:rPr>
        <w:t>and one is units</w:t>
      </w:r>
      <w:r w:rsidRPr="009416EF">
        <w:rPr>
          <w:vertAlign w:val="superscript"/>
          <w:lang w:eastAsia="zh-CN"/>
        </w:rPr>
        <w:t>3</w:t>
      </w:r>
      <w:r w:rsidRPr="009416EF">
        <w:rPr>
          <w:lang w:eastAsia="zh-CN"/>
        </w:rPr>
        <w:t>). For cubes smaller than this, surface area is greater relative to volume than it is in larger cubes (where volume is greater relative to surface area).</w:t>
      </w:r>
    </w:p>
    <w:p w14:paraId="64D55C5E" w14:textId="77777777" w:rsidR="009416EF" w:rsidRPr="009416EF" w:rsidRDefault="009416EF" w:rsidP="00017B19">
      <w:pPr>
        <w:jc w:val="center"/>
        <w:rPr>
          <w:lang w:eastAsia="zh-CN"/>
        </w:rPr>
      </w:pPr>
      <w:r w:rsidRPr="009416EF">
        <w:rPr>
          <w:lang w:eastAsia="zh-CN"/>
        </w:rPr>
        <w:fldChar w:fldCharType="begin"/>
      </w:r>
      <w:r w:rsidRPr="009416EF">
        <w:rPr>
          <w:lang w:eastAsia="zh-CN"/>
        </w:rPr>
        <w:instrText xml:space="preserve"> INCLUDEPICTURE "http://www.tiem.utk.edu/~gross/bioed/bealsmodules/area.gph1.gif" \* MERGEFORMATINET </w:instrText>
      </w:r>
      <w:r w:rsidRPr="009416EF">
        <w:rPr>
          <w:lang w:eastAsia="zh-CN"/>
        </w:rPr>
        <w:fldChar w:fldCharType="separate"/>
      </w:r>
      <w:r w:rsidRPr="009416EF">
        <w:rPr>
          <w:noProof/>
          <w:lang w:eastAsia="zh-CN"/>
        </w:rPr>
        <w:drawing>
          <wp:inline distT="0" distB="0" distL="0" distR="0" wp14:anchorId="11A3B224" wp14:editId="4FF5C1CE">
            <wp:extent cx="3657600" cy="2297100"/>
            <wp:effectExtent l="0" t="0" r="0" b="0"/>
            <wp:docPr id="12" name="Picture 12" descr="http://www.tiem.utk.edu/~gross/bioed/bealsmodules/area.gp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iem.utk.edu/~gross/bioed/bealsmodules/area.gph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297100"/>
                    </a:xfrm>
                    <a:prstGeom prst="rect">
                      <a:avLst/>
                    </a:prstGeom>
                    <a:noFill/>
                    <a:ln>
                      <a:noFill/>
                    </a:ln>
                  </pic:spPr>
                </pic:pic>
              </a:graphicData>
            </a:graphic>
          </wp:inline>
        </w:drawing>
      </w:r>
      <w:r w:rsidRPr="009416EF">
        <w:rPr>
          <w:lang w:eastAsia="zh-CN"/>
        </w:rPr>
        <w:fldChar w:fldCharType="end"/>
      </w:r>
    </w:p>
    <w:p w14:paraId="684576CF" w14:textId="77777777" w:rsidR="009416EF" w:rsidRDefault="009416EF" w:rsidP="009416EF">
      <w:pPr>
        <w:rPr>
          <w:lang w:eastAsia="zh-CN"/>
        </w:rPr>
      </w:pPr>
      <w:r w:rsidRPr="009416EF">
        <w:rPr>
          <w:lang w:eastAsia="zh-CN"/>
        </w:rPr>
        <w:t>Sometimes a graph that shows how the relationship between two variables changes is more instructive. For example, a graph of the</w:t>
      </w:r>
      <w:r w:rsidR="00017B19">
        <w:rPr>
          <w:lang w:eastAsia="zh-CN"/>
        </w:rPr>
        <w:t xml:space="preserve"> </w:t>
      </w:r>
      <w:r w:rsidRPr="009416EF">
        <w:rPr>
          <w:i/>
          <w:iCs/>
          <w:lang w:eastAsia="zh-CN"/>
        </w:rPr>
        <w:t>ratio</w:t>
      </w:r>
      <w:r w:rsidR="00017B19">
        <w:rPr>
          <w:lang w:eastAsia="zh-CN"/>
        </w:rPr>
        <w:t xml:space="preserve"> </w:t>
      </w:r>
      <w:r w:rsidRPr="009416EF">
        <w:rPr>
          <w:lang w:eastAsia="zh-CN"/>
        </w:rPr>
        <w:t>of surface area to volume,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235AC" w14:paraId="59A4D821" w14:textId="77777777" w:rsidTr="002A7F67">
        <w:tc>
          <w:tcPr>
            <w:tcW w:w="4675" w:type="dxa"/>
            <w:vAlign w:val="center"/>
          </w:tcPr>
          <w:p w14:paraId="4BEBDC48" w14:textId="77777777" w:rsidR="007235AC" w:rsidRDefault="008B212A" w:rsidP="002A7F67">
            <w:pPr>
              <w:rPr>
                <w:lang w:eastAsia="zh-CN"/>
              </w:rPr>
            </w:pPr>
            <m:oMathPara>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SV</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S</m:t>
                    </m:r>
                  </m:num>
                  <m:den>
                    <m:r>
                      <w:rPr>
                        <w:rFonts w:ascii="Cambria Math" w:hAnsi="Cambria Math"/>
                        <w:lang w:eastAsia="zh-CN"/>
                      </w:rPr>
                      <m:t>V</m:t>
                    </m:r>
                  </m:den>
                </m:f>
              </m:oMath>
            </m:oMathPara>
          </w:p>
        </w:tc>
        <w:tc>
          <w:tcPr>
            <w:tcW w:w="4675" w:type="dxa"/>
            <w:vAlign w:val="center"/>
          </w:tcPr>
          <w:p w14:paraId="326EA460" w14:textId="77777777" w:rsidR="007235AC" w:rsidRDefault="007235AC" w:rsidP="002A7F67">
            <w:pPr>
              <w:rPr>
                <w:lang w:eastAsia="zh-CN"/>
              </w:rPr>
            </w:pPr>
            <w:r>
              <w:rPr>
                <w:lang w:eastAsia="zh-CN"/>
              </w:rPr>
              <w:t xml:space="preserve">LaTeX Code: </w:t>
            </w:r>
            <w:proofErr w:type="gramStart"/>
            <w:r>
              <w:rPr>
                <w:lang w:eastAsia="zh-CN"/>
              </w:rPr>
              <w:t>\[</w:t>
            </w:r>
            <w:proofErr w:type="gramEnd"/>
            <w:r>
              <w:rPr>
                <w:lang w:eastAsia="zh-CN"/>
              </w:rPr>
              <w:t xml:space="preserve"> r_{SV} = \frac{S}{V} \]</w:t>
            </w:r>
          </w:p>
        </w:tc>
      </w:tr>
    </w:tbl>
    <w:p w14:paraId="2404615A" w14:textId="77777777" w:rsidR="009416EF" w:rsidRPr="009416EF" w:rsidRDefault="009416EF" w:rsidP="009416EF">
      <w:pPr>
        <w:rPr>
          <w:lang w:eastAsia="zh-CN"/>
        </w:rPr>
      </w:pPr>
      <w:r w:rsidRPr="009416EF">
        <w:rPr>
          <w:lang w:eastAsia="zh-CN"/>
        </w:rPr>
        <w:t>clearly illustrates that as the size of an object increases (without changing shape), this ratio decreases. Mathematically, that tells us that the denominator (volume) increases faster relative to the numerator (surface area) as object size increases. The star on the line (at</w:t>
      </w:r>
      <w:r w:rsidR="002A45A4">
        <w:rPr>
          <w:lang w:eastAsia="zh-CN"/>
        </w:rPr>
        <w:t xml:space="preserve"> </w:t>
      </w:r>
      <w:r w:rsidRPr="009416EF">
        <w:rPr>
          <w:i/>
          <w:iCs/>
          <w:lang w:eastAsia="zh-CN"/>
        </w:rPr>
        <w:t>l</w:t>
      </w:r>
      <w:r w:rsidR="002A45A4">
        <w:rPr>
          <w:i/>
          <w:iCs/>
          <w:lang w:eastAsia="zh-CN"/>
        </w:rPr>
        <w:t xml:space="preserve"> </w:t>
      </w:r>
      <w:r w:rsidRPr="009416EF">
        <w:rPr>
          <w:lang w:eastAsia="zh-CN"/>
        </w:rPr>
        <w:t>= 6) represents the same point mentioned above: this is the size of the cube where</w:t>
      </w:r>
      <w:r w:rsidR="002A45A4">
        <w:rPr>
          <w:lang w:eastAsia="zh-CN"/>
        </w:rPr>
        <w:t xml:space="preserve"> </w:t>
      </w:r>
      <w:r w:rsidRPr="009416EF">
        <w:rPr>
          <w:i/>
          <w:iCs/>
          <w:lang w:eastAsia="zh-CN"/>
        </w:rPr>
        <w:t>S</w:t>
      </w:r>
      <w:r w:rsidR="002A45A4">
        <w:rPr>
          <w:lang w:eastAsia="zh-CN"/>
        </w:rPr>
        <w:t xml:space="preserve"> </w:t>
      </w:r>
      <w:r w:rsidRPr="009416EF">
        <w:rPr>
          <w:lang w:eastAsia="zh-CN"/>
        </w:rPr>
        <w:t>and</w:t>
      </w:r>
      <w:r w:rsidR="002A45A4">
        <w:rPr>
          <w:lang w:eastAsia="zh-CN"/>
        </w:rPr>
        <w:t xml:space="preserve"> </w:t>
      </w:r>
      <w:r w:rsidRPr="009416EF">
        <w:rPr>
          <w:i/>
          <w:iCs/>
          <w:lang w:eastAsia="zh-CN"/>
        </w:rPr>
        <w:t>V</w:t>
      </w:r>
      <w:r w:rsidR="002A45A4">
        <w:rPr>
          <w:lang w:eastAsia="zh-CN"/>
        </w:rPr>
        <w:t xml:space="preserve"> </w:t>
      </w:r>
      <w:r w:rsidRPr="009416EF">
        <w:rPr>
          <w:lang w:eastAsia="zh-CN"/>
        </w:rPr>
        <w:t>have equal values, and so the surface area to volume ratio is equal to one.</w:t>
      </w:r>
    </w:p>
    <w:p w14:paraId="57177ABB" w14:textId="77777777" w:rsidR="008E6A8B" w:rsidRPr="008E6A8B" w:rsidRDefault="009416EF" w:rsidP="002A7F67">
      <w:pPr>
        <w:jc w:val="center"/>
        <w:rPr>
          <w:lang w:eastAsia="zh-CN"/>
        </w:rPr>
      </w:pPr>
      <w:r w:rsidRPr="009416EF">
        <w:rPr>
          <w:lang w:eastAsia="zh-CN"/>
        </w:rPr>
        <w:lastRenderedPageBreak/>
        <w:fldChar w:fldCharType="begin"/>
      </w:r>
      <w:r w:rsidRPr="009416EF">
        <w:rPr>
          <w:lang w:eastAsia="zh-CN"/>
        </w:rPr>
        <w:instrText xml:space="preserve"> INCLUDEPICTURE "http://www.tiem.utk.edu/~gross/bioed/bealsmodules/area.gph2.gif" \* MERGEFORMATINET </w:instrText>
      </w:r>
      <w:r w:rsidRPr="009416EF">
        <w:rPr>
          <w:lang w:eastAsia="zh-CN"/>
        </w:rPr>
        <w:fldChar w:fldCharType="separate"/>
      </w:r>
      <w:r w:rsidRPr="009416EF">
        <w:rPr>
          <w:noProof/>
          <w:lang w:eastAsia="zh-CN"/>
        </w:rPr>
        <w:drawing>
          <wp:inline distT="0" distB="0" distL="0" distR="0" wp14:anchorId="2218D48E" wp14:editId="2D9F0176">
            <wp:extent cx="3657600" cy="2300762"/>
            <wp:effectExtent l="0" t="0" r="0" b="0"/>
            <wp:docPr id="10" name="Picture 10" descr="http://www.tiem.utk.edu/~gross/bioed/bealsmodules/area.gp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iem.utk.edu/~gross/bioed/bealsmodules/area.gph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300762"/>
                    </a:xfrm>
                    <a:prstGeom prst="rect">
                      <a:avLst/>
                    </a:prstGeom>
                    <a:noFill/>
                    <a:ln>
                      <a:noFill/>
                    </a:ln>
                  </pic:spPr>
                </pic:pic>
              </a:graphicData>
            </a:graphic>
          </wp:inline>
        </w:drawing>
      </w:r>
      <w:r w:rsidRPr="009416EF">
        <w:rPr>
          <w:lang w:eastAsia="zh-CN"/>
        </w:rPr>
        <w:fldChar w:fldCharType="end"/>
      </w:r>
    </w:p>
    <w:p w14:paraId="3ACC4B40" w14:textId="77777777" w:rsidR="00283F45" w:rsidRDefault="00283F45" w:rsidP="00283F45">
      <w:pPr>
        <w:pStyle w:val="Heading1"/>
      </w:pPr>
      <w:r>
        <w:t>Conclusion</w:t>
      </w:r>
    </w:p>
    <w:p w14:paraId="4A6F9EA1" w14:textId="77777777" w:rsidR="008E6A8B" w:rsidRPr="008E6A8B" w:rsidRDefault="000E3B47" w:rsidP="008E6A8B">
      <w:r w:rsidRPr="000E3B47">
        <w:t>Organisms exhibit a variety of modifications, both physiological and anatomical, to compensate for changes in the surface area to volume ratio associated with size differences. One example of this is the higher metabolic rates found in smaller (homeothermic) animals. Because of their large surface area relative to volume, small animals lose heat at much higher rates than large animals, and therefore must produce more heat to offset the effects of thermal conductance. Another example is the variety of internal transport systems that have developed in plants and animals for actively moving materials throughout the organism, thus enabling them to circumvent the limits imposed by passive diffusion. Many organisms have developed structures that actually increase their surface area: the leaves on trees, the microvilli on the lining of the small intestine, root hairs and capillaries, and the convoluted walls of arteries, to name but a few.</w:t>
      </w:r>
    </w:p>
    <w:p w14:paraId="37257229" w14:textId="77777777" w:rsidR="008E6A8B" w:rsidRDefault="008E6A8B" w:rsidP="00283F45">
      <w:pPr>
        <w:pStyle w:val="Heading1"/>
      </w:pPr>
      <w:r>
        <w:t>Additional Questions</w:t>
      </w:r>
    </w:p>
    <w:p w14:paraId="32996969" w14:textId="77777777" w:rsidR="000E3B47" w:rsidRDefault="000E3B47" w:rsidP="000E3B47">
      <w:r>
        <w:t xml:space="preserve">Calculate and graph the surface area to volume ratio for spheres increasing in </w:t>
      </w:r>
      <w:r w:rsidR="00595339">
        <w:t>one-unit</w:t>
      </w:r>
      <w:r>
        <w:t xml:space="preserve"> increments (beginning with r = 1). Compare the S:V ratio of spheres and cubes of comparable sizes (2r, or diameter, = l).</w:t>
      </w:r>
    </w:p>
    <w:p w14:paraId="426DA4CE" w14:textId="77777777" w:rsidR="008E6A8B" w:rsidRPr="008E6A8B" w:rsidRDefault="000E3B47" w:rsidP="000E3B47">
      <w:r w:rsidRPr="000E3B47">
        <w:rPr>
          <w:i/>
        </w:rPr>
        <w:t>Extra credit:</w:t>
      </w:r>
      <w:r>
        <w:t xml:space="preserve"> Graph the surface areas (x axis) and volumes (y axis) of these spheres on a standard plot and a log-log plot. What happens to the line? Why?</w:t>
      </w:r>
    </w:p>
    <w:p w14:paraId="03584D81" w14:textId="77777777" w:rsidR="00283F45" w:rsidRDefault="00283F45" w:rsidP="00283F45">
      <w:pPr>
        <w:pStyle w:val="Heading1"/>
      </w:pPr>
      <w:r>
        <w:t>Source</w:t>
      </w:r>
    </w:p>
    <w:p w14:paraId="6DA1F918" w14:textId="77777777" w:rsidR="00767060" w:rsidRDefault="00767060" w:rsidP="00767060">
      <w:r>
        <w:t xml:space="preserve">Schmidt-Nielson, K. 1984. </w:t>
      </w:r>
      <w:r w:rsidRPr="00226DA3">
        <w:rPr>
          <w:i/>
        </w:rPr>
        <w:t xml:space="preserve">Scaling: Why is Animal Size so Important? </w:t>
      </w:r>
      <w:r>
        <w:t>Cambridge University Press, New York, NY.</w:t>
      </w:r>
    </w:p>
    <w:p w14:paraId="79DE0680" w14:textId="77777777" w:rsidR="008E6A8B" w:rsidRDefault="00767060" w:rsidP="00767060">
      <w:r>
        <w:lastRenderedPageBreak/>
        <w:t xml:space="preserve">Vogel, S. 1988. </w:t>
      </w:r>
      <w:r w:rsidRPr="00226DA3">
        <w:rPr>
          <w:i/>
        </w:rPr>
        <w:t>Life's Devices: The Physical World of Animals and Plants</w:t>
      </w:r>
      <w:r>
        <w:t>. Princeton University Press, Princeton, NJ.</w:t>
      </w:r>
    </w:p>
    <w:p w14:paraId="55AC5535" w14:textId="77777777" w:rsidR="00A207B5" w:rsidRPr="00283F45" w:rsidRDefault="00A207B5" w:rsidP="00283F45">
      <w:pPr>
        <w:pStyle w:val="Heading1"/>
      </w:pPr>
      <w:r w:rsidRPr="00283F45">
        <w:t>About this Resource</w:t>
      </w:r>
    </w:p>
    <w:p w14:paraId="4F4DC412"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7567BD01"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27CAC0BB"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7FC0A" w14:textId="77777777" w:rsidR="008B212A" w:rsidRDefault="008B212A" w:rsidP="00A207B5">
      <w:r>
        <w:separator/>
      </w:r>
    </w:p>
  </w:endnote>
  <w:endnote w:type="continuationSeparator" w:id="0">
    <w:p w14:paraId="3515DC48" w14:textId="77777777" w:rsidR="008B212A" w:rsidRDefault="008B212A" w:rsidP="00A207B5">
      <w:r>
        <w:continuationSeparator/>
      </w:r>
    </w:p>
  </w:endnote>
  <w:endnote w:id="1">
    <w:p w14:paraId="46E138BF" w14:textId="77777777" w:rsidR="00A207B5" w:rsidRDefault="00A207B5" w:rsidP="00A207B5">
      <w:pPr>
        <w:pStyle w:val="EndnoteText"/>
      </w:pPr>
      <w:r>
        <w:rPr>
          <w:rStyle w:val="EndnoteReference"/>
        </w:rPr>
        <w:endnoteRef/>
      </w:r>
      <w:r>
        <w:t xml:space="preserve"> http://www.tiem.utk.edu/~gross/bioed/</w:t>
      </w:r>
    </w:p>
  </w:endnote>
  <w:endnote w:id="2">
    <w:p w14:paraId="494ACA8F" w14:textId="77777777" w:rsidR="00A207B5" w:rsidRDefault="00A207B5" w:rsidP="00A207B5">
      <w:pPr>
        <w:pStyle w:val="EndnoteText"/>
      </w:pPr>
      <w:r>
        <w:rPr>
          <w:rStyle w:val="EndnoteReference"/>
        </w:rPr>
        <w:endnoteRef/>
      </w:r>
      <w:r>
        <w:t xml:space="preserve"> https://qubeshub.org/community/groups/quantbioatcc/</w:t>
      </w:r>
    </w:p>
  </w:endnote>
  <w:endnote w:id="3">
    <w:p w14:paraId="55499B40"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03D5D526" w14:textId="1E249F0F" w:rsidR="00A207B5" w:rsidRDefault="00A207B5" w:rsidP="00A207B5">
      <w:pPr>
        <w:pStyle w:val="EndnoteText"/>
      </w:pPr>
      <w:r>
        <w:rPr>
          <w:rStyle w:val="EndnoteReference"/>
        </w:rPr>
        <w:endnoteRef/>
      </w:r>
      <w:r>
        <w:t xml:space="preserve"> </w:t>
      </w:r>
      <w:r w:rsidRPr="00B50C5B">
        <w:t>https://qubeshub.org/qubesresources/publications/</w:t>
      </w:r>
      <w:r w:rsidR="005A2872">
        <w:t>1067</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8693" w14:textId="77777777" w:rsidR="008B212A" w:rsidRDefault="008B212A" w:rsidP="00A207B5">
      <w:r>
        <w:separator/>
      </w:r>
    </w:p>
  </w:footnote>
  <w:footnote w:type="continuationSeparator" w:id="0">
    <w:p w14:paraId="26434129" w14:textId="77777777" w:rsidR="008B212A" w:rsidRDefault="008B212A"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70"/>
    <w:rsid w:val="00006684"/>
    <w:rsid w:val="00017B19"/>
    <w:rsid w:val="000C5A86"/>
    <w:rsid w:val="000D79DD"/>
    <w:rsid w:val="000E05B4"/>
    <w:rsid w:val="000E3B47"/>
    <w:rsid w:val="00142DFF"/>
    <w:rsid w:val="001E2492"/>
    <w:rsid w:val="0022061E"/>
    <w:rsid w:val="00226DA3"/>
    <w:rsid w:val="00283F45"/>
    <w:rsid w:val="002A45A4"/>
    <w:rsid w:val="002A7F67"/>
    <w:rsid w:val="002C1AFF"/>
    <w:rsid w:val="002F19B2"/>
    <w:rsid w:val="00341AE6"/>
    <w:rsid w:val="003436A2"/>
    <w:rsid w:val="003607A8"/>
    <w:rsid w:val="00420AA2"/>
    <w:rsid w:val="004D7D6B"/>
    <w:rsid w:val="00595339"/>
    <w:rsid w:val="005A2872"/>
    <w:rsid w:val="005B40F5"/>
    <w:rsid w:val="00621462"/>
    <w:rsid w:val="00643D70"/>
    <w:rsid w:val="007235AC"/>
    <w:rsid w:val="00767060"/>
    <w:rsid w:val="007F0B29"/>
    <w:rsid w:val="00850ABC"/>
    <w:rsid w:val="00893506"/>
    <w:rsid w:val="00897E96"/>
    <w:rsid w:val="008B212A"/>
    <w:rsid w:val="008E6A8B"/>
    <w:rsid w:val="00911E45"/>
    <w:rsid w:val="00934FC9"/>
    <w:rsid w:val="009416EF"/>
    <w:rsid w:val="009F2F12"/>
    <w:rsid w:val="00A207B5"/>
    <w:rsid w:val="00AD4431"/>
    <w:rsid w:val="00B9541D"/>
    <w:rsid w:val="00BB4983"/>
    <w:rsid w:val="00BE3B85"/>
    <w:rsid w:val="00CA24E6"/>
    <w:rsid w:val="00CD3585"/>
    <w:rsid w:val="00D047AB"/>
    <w:rsid w:val="00D55599"/>
    <w:rsid w:val="00DB4002"/>
    <w:rsid w:val="00DB5A46"/>
    <w:rsid w:val="00DD60CE"/>
    <w:rsid w:val="00DE29F6"/>
    <w:rsid w:val="00E4575E"/>
    <w:rsid w:val="00E56871"/>
    <w:rsid w:val="00E97BF6"/>
    <w:rsid w:val="00F83087"/>
    <w:rsid w:val="00FD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24FD06"/>
  <w15:chartTrackingRefBased/>
  <w15:docId w15:val="{18277E16-AB58-7249-B386-CC8843ED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5B40F5"/>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F83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30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4764">
      <w:bodyDiv w:val="1"/>
      <w:marLeft w:val="0"/>
      <w:marRight w:val="0"/>
      <w:marTop w:val="0"/>
      <w:marBottom w:val="0"/>
      <w:divBdr>
        <w:top w:val="none" w:sz="0" w:space="0" w:color="auto"/>
        <w:left w:val="none" w:sz="0" w:space="0" w:color="auto"/>
        <w:bottom w:val="none" w:sz="0" w:space="0" w:color="auto"/>
        <w:right w:val="none" w:sz="0" w:space="0" w:color="auto"/>
      </w:divBdr>
    </w:div>
    <w:div w:id="510920874">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09695401">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110081009">
      <w:bodyDiv w:val="1"/>
      <w:marLeft w:val="0"/>
      <w:marRight w:val="0"/>
      <w:marTop w:val="0"/>
      <w:marBottom w:val="0"/>
      <w:divBdr>
        <w:top w:val="none" w:sz="0" w:space="0" w:color="auto"/>
        <w:left w:val="none" w:sz="0" w:space="0" w:color="auto"/>
        <w:bottom w:val="none" w:sz="0" w:space="0" w:color="auto"/>
        <w:right w:val="none" w:sz="0" w:space="0" w:color="auto"/>
      </w:divBdr>
    </w:div>
    <w:div w:id="1886143038">
      <w:bodyDiv w:val="1"/>
      <w:marLeft w:val="0"/>
      <w:marRight w:val="0"/>
      <w:marTop w:val="0"/>
      <w:marBottom w:val="0"/>
      <w:divBdr>
        <w:top w:val="none" w:sz="0" w:space="0" w:color="auto"/>
        <w:left w:val="none" w:sz="0" w:space="0" w:color="auto"/>
        <w:bottom w:val="none" w:sz="0" w:space="0" w:color="auto"/>
        <w:right w:val="none" w:sz="0" w:space="0" w:color="auto"/>
      </w:divBdr>
    </w:div>
    <w:div w:id="21326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15</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41</cp:revision>
  <dcterms:created xsi:type="dcterms:W3CDTF">2018-12-30T23:10:00Z</dcterms:created>
  <dcterms:modified xsi:type="dcterms:W3CDTF">2019-02-07T21:21:00Z</dcterms:modified>
</cp:coreProperties>
</file>