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D977" w14:textId="77777777" w:rsidR="00A207B5" w:rsidRPr="00A207B5" w:rsidRDefault="009E4978" w:rsidP="00A207B5">
      <w:pPr>
        <w:pStyle w:val="Title"/>
      </w:pPr>
      <w:r w:rsidRPr="009E4978">
        <w:t>Osmoregulation</w:t>
      </w:r>
    </w:p>
    <w:p w14:paraId="57B28784" w14:textId="77777777" w:rsidR="00A207B5" w:rsidRDefault="00A207B5" w:rsidP="00283F45">
      <w:pPr>
        <w:pStyle w:val="Heading1"/>
      </w:pPr>
      <w:r w:rsidRPr="00283F45">
        <w:t>Introduction</w:t>
      </w:r>
    </w:p>
    <w:p w14:paraId="7705B242" w14:textId="77777777" w:rsidR="008E6A8B" w:rsidRPr="008E6A8B" w:rsidRDefault="005563E0" w:rsidP="008E6A8B">
      <w:r w:rsidRPr="005563E0">
        <w:t>Molecules passively diffuse from regions of high to low concentration. Aquatic animals are generally hyperosmotic to their surroundings: their internal solute concentration is much higher than their surroundings. Because of this, aquatic animals must develop physiological mechanisms to prevent excess flow of water into their bodies. They must also develop mechanisms to prevent the loss of solutes as excess water is excreted. The process by which organisms actively maintain their internal solute concentration is called osmoregulation. Animals must actively transport solutes from their surroundings into their blood against the concentration gradient.</w:t>
      </w:r>
    </w:p>
    <w:p w14:paraId="30948FFA" w14:textId="77777777" w:rsidR="00283F45" w:rsidRDefault="00283F45" w:rsidP="00283F45">
      <w:pPr>
        <w:pStyle w:val="Heading1"/>
      </w:pPr>
      <w:r w:rsidRPr="00283F45">
        <w:t>Importance</w:t>
      </w:r>
    </w:p>
    <w:p w14:paraId="4E64495A" w14:textId="77777777" w:rsidR="008E6A8B" w:rsidRPr="008E6A8B" w:rsidRDefault="004C6ACD" w:rsidP="008E6A8B">
      <w:r w:rsidRPr="004C6ACD">
        <w:t>The work required for osmoregulation depends on properties of the organism and its environment. Some animals seem to spend more energy than others to maintain an internal balance. We can quantify osmotic work in a simple equation in order to understand tradeoffs organisms must make in order to maintain their internal solute concentration.</w:t>
      </w:r>
    </w:p>
    <w:p w14:paraId="785EF23C" w14:textId="77777777" w:rsidR="00283F45" w:rsidRDefault="00283F45" w:rsidP="00283F45">
      <w:pPr>
        <w:pStyle w:val="Heading1"/>
      </w:pPr>
      <w:r>
        <w:t>Questions</w:t>
      </w:r>
    </w:p>
    <w:p w14:paraId="6D7FE141" w14:textId="77777777" w:rsidR="008E6A8B" w:rsidRPr="008E6A8B" w:rsidRDefault="0004219F" w:rsidP="008E6A8B">
      <w:r w:rsidRPr="0004219F">
        <w:t>How is osmotic work related to properties of the organism?</w:t>
      </w:r>
    </w:p>
    <w:p w14:paraId="5DF16562" w14:textId="77777777" w:rsidR="00283F45" w:rsidRDefault="00283F45" w:rsidP="00283F45">
      <w:pPr>
        <w:pStyle w:val="Heading1"/>
      </w:pPr>
      <w:r>
        <w:t>Variables</w:t>
      </w:r>
    </w:p>
    <w:tbl>
      <w:tblPr>
        <w:tblW w:w="522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649"/>
        <w:gridCol w:w="4571"/>
      </w:tblGrid>
      <w:tr w:rsidR="002A1482" w:rsidRPr="002A1482" w14:paraId="191FB996" w14:textId="77777777" w:rsidTr="002A1482">
        <w:trPr>
          <w:tblCellSpacing w:w="10" w:type="dxa"/>
        </w:trPr>
        <w:tc>
          <w:tcPr>
            <w:tcW w:w="600" w:type="pct"/>
            <w:hideMark/>
          </w:tcPr>
          <w:p w14:paraId="10CB5AAA" w14:textId="77777777" w:rsidR="002A1482" w:rsidRPr="002A1482" w:rsidRDefault="002A1482" w:rsidP="002A1482">
            <w:pPr>
              <w:pStyle w:val="TableContent"/>
              <w:rPr>
                <w:lang w:eastAsia="zh-CN"/>
              </w:rPr>
            </w:pPr>
            <w:r w:rsidRPr="002A1482">
              <w:rPr>
                <w:lang w:eastAsia="zh-CN"/>
              </w:rPr>
              <w:t>W</w:t>
            </w:r>
          </w:p>
        </w:tc>
        <w:tc>
          <w:tcPr>
            <w:tcW w:w="4400" w:type="pct"/>
            <w:hideMark/>
          </w:tcPr>
          <w:p w14:paraId="6461DB1C" w14:textId="77777777" w:rsidR="002A1482" w:rsidRPr="002A1482" w:rsidRDefault="002A1482" w:rsidP="002A1482">
            <w:pPr>
              <w:pStyle w:val="TableContent"/>
              <w:rPr>
                <w:lang w:eastAsia="zh-CN"/>
              </w:rPr>
            </w:pPr>
            <w:r w:rsidRPr="002A1482">
              <w:rPr>
                <w:lang w:eastAsia="zh-CN"/>
              </w:rPr>
              <w:t>osmotic work (cal/hr)</w:t>
            </w:r>
          </w:p>
        </w:tc>
      </w:tr>
      <w:tr w:rsidR="002A1482" w:rsidRPr="002A1482" w14:paraId="2DFE6D77" w14:textId="77777777" w:rsidTr="002A1482">
        <w:trPr>
          <w:tblCellSpacing w:w="10" w:type="dxa"/>
        </w:trPr>
        <w:tc>
          <w:tcPr>
            <w:tcW w:w="600" w:type="pct"/>
            <w:hideMark/>
          </w:tcPr>
          <w:p w14:paraId="711F5EFE" w14:textId="77777777" w:rsidR="002A1482" w:rsidRPr="002A1482" w:rsidRDefault="002A1482" w:rsidP="002A1482">
            <w:pPr>
              <w:pStyle w:val="TableContent"/>
              <w:rPr>
                <w:lang w:eastAsia="zh-CN"/>
              </w:rPr>
            </w:pPr>
            <w:r w:rsidRPr="002A1482">
              <w:rPr>
                <w:lang w:eastAsia="zh-CN"/>
              </w:rPr>
              <w:t>R</w:t>
            </w:r>
          </w:p>
        </w:tc>
        <w:tc>
          <w:tcPr>
            <w:tcW w:w="4400" w:type="pct"/>
            <w:hideMark/>
          </w:tcPr>
          <w:p w14:paraId="5B8C3C9E" w14:textId="77777777" w:rsidR="002A1482" w:rsidRPr="002A1482" w:rsidRDefault="002A1482" w:rsidP="002A1482">
            <w:pPr>
              <w:pStyle w:val="TableContent"/>
              <w:rPr>
                <w:lang w:eastAsia="zh-CN"/>
              </w:rPr>
            </w:pPr>
            <w:r w:rsidRPr="002A1482">
              <w:rPr>
                <w:lang w:eastAsia="zh-CN"/>
              </w:rPr>
              <w:t>universal gas constant (0.00199 cal/(mmol K))</w:t>
            </w:r>
          </w:p>
        </w:tc>
      </w:tr>
      <w:tr w:rsidR="002A1482" w:rsidRPr="002A1482" w14:paraId="66C92AC2" w14:textId="77777777" w:rsidTr="002A1482">
        <w:trPr>
          <w:tblCellSpacing w:w="10" w:type="dxa"/>
        </w:trPr>
        <w:tc>
          <w:tcPr>
            <w:tcW w:w="600" w:type="pct"/>
            <w:hideMark/>
          </w:tcPr>
          <w:p w14:paraId="14BA2F92" w14:textId="77777777" w:rsidR="002A1482" w:rsidRPr="002A1482" w:rsidRDefault="002A1482" w:rsidP="002A1482">
            <w:pPr>
              <w:pStyle w:val="TableContent"/>
              <w:rPr>
                <w:lang w:eastAsia="zh-CN"/>
              </w:rPr>
            </w:pPr>
            <w:r w:rsidRPr="002A1482">
              <w:rPr>
                <w:lang w:eastAsia="zh-CN"/>
              </w:rPr>
              <w:t>T</w:t>
            </w:r>
          </w:p>
        </w:tc>
        <w:tc>
          <w:tcPr>
            <w:tcW w:w="4400" w:type="pct"/>
            <w:hideMark/>
          </w:tcPr>
          <w:p w14:paraId="45BFB680" w14:textId="77777777" w:rsidR="002A1482" w:rsidRPr="002A1482" w:rsidRDefault="002A1482" w:rsidP="002A1482">
            <w:pPr>
              <w:pStyle w:val="TableContent"/>
              <w:rPr>
                <w:lang w:eastAsia="zh-CN"/>
              </w:rPr>
            </w:pPr>
            <w:r w:rsidRPr="002A1482">
              <w:rPr>
                <w:lang w:eastAsia="zh-CN"/>
              </w:rPr>
              <w:t>external temperature (K)</w:t>
            </w:r>
          </w:p>
        </w:tc>
      </w:tr>
      <w:tr w:rsidR="002A1482" w:rsidRPr="002A1482" w14:paraId="6E5A6F43" w14:textId="77777777" w:rsidTr="002A1482">
        <w:trPr>
          <w:tblCellSpacing w:w="10" w:type="dxa"/>
        </w:trPr>
        <w:tc>
          <w:tcPr>
            <w:tcW w:w="600" w:type="pct"/>
            <w:hideMark/>
          </w:tcPr>
          <w:p w14:paraId="4E7A41A6" w14:textId="77777777" w:rsidR="002A1482" w:rsidRPr="002A1482" w:rsidRDefault="002A1482" w:rsidP="002A1482">
            <w:pPr>
              <w:pStyle w:val="TableContent"/>
              <w:rPr>
                <w:lang w:eastAsia="zh-CN"/>
              </w:rPr>
            </w:pPr>
            <w:r w:rsidRPr="002A1482">
              <w:rPr>
                <w:lang w:eastAsia="zh-CN"/>
              </w:rPr>
              <w:t>V</w:t>
            </w:r>
          </w:p>
        </w:tc>
        <w:tc>
          <w:tcPr>
            <w:tcW w:w="4400" w:type="pct"/>
            <w:hideMark/>
          </w:tcPr>
          <w:p w14:paraId="433549BB" w14:textId="77777777" w:rsidR="002A1482" w:rsidRPr="002A1482" w:rsidRDefault="002A1482" w:rsidP="002A1482">
            <w:pPr>
              <w:pStyle w:val="TableContent"/>
              <w:rPr>
                <w:lang w:eastAsia="zh-CN"/>
              </w:rPr>
            </w:pPr>
            <w:r w:rsidRPr="002A1482">
              <w:rPr>
                <w:lang w:eastAsia="zh-CN"/>
              </w:rPr>
              <w:t>volume of urine (mL/h)</w:t>
            </w:r>
          </w:p>
        </w:tc>
      </w:tr>
      <w:tr w:rsidR="002A1482" w:rsidRPr="002A1482" w14:paraId="419F7F99" w14:textId="77777777" w:rsidTr="002A1482">
        <w:trPr>
          <w:tblCellSpacing w:w="10" w:type="dxa"/>
        </w:trPr>
        <w:tc>
          <w:tcPr>
            <w:tcW w:w="600" w:type="pct"/>
            <w:hideMark/>
          </w:tcPr>
          <w:p w14:paraId="1E6B3F80" w14:textId="77777777" w:rsidR="002A1482" w:rsidRPr="002A1482" w:rsidRDefault="002A1482" w:rsidP="002A1482">
            <w:pPr>
              <w:pStyle w:val="TableContent"/>
              <w:rPr>
                <w:lang w:eastAsia="zh-CN"/>
              </w:rPr>
            </w:pPr>
            <w:r w:rsidRPr="002A1482">
              <w:rPr>
                <w:lang w:eastAsia="zh-CN"/>
              </w:rPr>
              <w:t>C</w:t>
            </w:r>
            <w:r w:rsidRPr="002A1482">
              <w:rPr>
                <w:vertAlign w:val="subscript"/>
                <w:lang w:eastAsia="zh-CN"/>
              </w:rPr>
              <w:t>u</w:t>
            </w:r>
          </w:p>
        </w:tc>
        <w:tc>
          <w:tcPr>
            <w:tcW w:w="4400" w:type="pct"/>
            <w:hideMark/>
          </w:tcPr>
          <w:p w14:paraId="136FC32E" w14:textId="77777777" w:rsidR="002A1482" w:rsidRPr="002A1482" w:rsidRDefault="002A1482" w:rsidP="002A1482">
            <w:pPr>
              <w:pStyle w:val="TableContent"/>
              <w:rPr>
                <w:lang w:eastAsia="zh-CN"/>
              </w:rPr>
            </w:pPr>
            <w:r w:rsidRPr="002A1482">
              <w:rPr>
                <w:lang w:eastAsia="zh-CN"/>
              </w:rPr>
              <w:t>solute concentration in the urine (mmol/mL)</w:t>
            </w:r>
          </w:p>
        </w:tc>
      </w:tr>
      <w:tr w:rsidR="002A1482" w:rsidRPr="002A1482" w14:paraId="640083F1" w14:textId="77777777" w:rsidTr="002A1482">
        <w:trPr>
          <w:tblCellSpacing w:w="10" w:type="dxa"/>
        </w:trPr>
        <w:tc>
          <w:tcPr>
            <w:tcW w:w="600" w:type="pct"/>
            <w:hideMark/>
          </w:tcPr>
          <w:p w14:paraId="1EEED9CA" w14:textId="77777777" w:rsidR="002A1482" w:rsidRPr="002A1482" w:rsidRDefault="002A1482" w:rsidP="002A1482">
            <w:pPr>
              <w:pStyle w:val="TableContent"/>
              <w:rPr>
                <w:lang w:eastAsia="zh-CN"/>
              </w:rPr>
            </w:pPr>
            <w:r w:rsidRPr="002A1482">
              <w:rPr>
                <w:lang w:eastAsia="zh-CN"/>
              </w:rPr>
              <w:t>C</w:t>
            </w:r>
            <w:r w:rsidRPr="002A1482">
              <w:rPr>
                <w:vertAlign w:val="subscript"/>
                <w:lang w:eastAsia="zh-CN"/>
              </w:rPr>
              <w:t>b</w:t>
            </w:r>
          </w:p>
        </w:tc>
        <w:tc>
          <w:tcPr>
            <w:tcW w:w="4400" w:type="pct"/>
            <w:hideMark/>
          </w:tcPr>
          <w:p w14:paraId="4C25DF9E" w14:textId="77777777" w:rsidR="002A1482" w:rsidRPr="002A1482" w:rsidRDefault="002A1482" w:rsidP="002A1482">
            <w:pPr>
              <w:pStyle w:val="TableContent"/>
              <w:rPr>
                <w:lang w:eastAsia="zh-CN"/>
              </w:rPr>
            </w:pPr>
            <w:r w:rsidRPr="002A1482">
              <w:rPr>
                <w:lang w:eastAsia="zh-CN"/>
              </w:rPr>
              <w:t>solute concentration in the blood (mmol/mL)</w:t>
            </w:r>
          </w:p>
        </w:tc>
      </w:tr>
      <w:tr w:rsidR="002A1482" w:rsidRPr="002A1482" w14:paraId="6D6C45C2" w14:textId="77777777" w:rsidTr="002A1482">
        <w:trPr>
          <w:tblCellSpacing w:w="10" w:type="dxa"/>
        </w:trPr>
        <w:tc>
          <w:tcPr>
            <w:tcW w:w="600" w:type="pct"/>
            <w:hideMark/>
          </w:tcPr>
          <w:p w14:paraId="02D2A2B3" w14:textId="77777777" w:rsidR="002A1482" w:rsidRPr="002A1482" w:rsidRDefault="002A1482" w:rsidP="002A1482">
            <w:pPr>
              <w:pStyle w:val="TableContent"/>
              <w:rPr>
                <w:lang w:eastAsia="zh-CN"/>
              </w:rPr>
            </w:pPr>
            <w:r w:rsidRPr="002A1482">
              <w:rPr>
                <w:lang w:eastAsia="zh-CN"/>
              </w:rPr>
              <w:lastRenderedPageBreak/>
              <w:t>C</w:t>
            </w:r>
            <w:r w:rsidRPr="002A1482">
              <w:rPr>
                <w:vertAlign w:val="subscript"/>
                <w:lang w:eastAsia="zh-CN"/>
              </w:rPr>
              <w:t>m</w:t>
            </w:r>
          </w:p>
        </w:tc>
        <w:tc>
          <w:tcPr>
            <w:tcW w:w="4400" w:type="pct"/>
            <w:hideMark/>
          </w:tcPr>
          <w:p w14:paraId="65B860F3" w14:textId="77777777" w:rsidR="002A1482" w:rsidRPr="002A1482" w:rsidRDefault="002A1482" w:rsidP="002A1482">
            <w:pPr>
              <w:pStyle w:val="TableContent"/>
              <w:rPr>
                <w:lang w:eastAsia="zh-CN"/>
              </w:rPr>
            </w:pPr>
            <w:r w:rsidRPr="002A1482">
              <w:rPr>
                <w:lang w:eastAsia="zh-CN"/>
              </w:rPr>
              <w:t>solute concentration in surrounding medium (mmol/mL)</w:t>
            </w:r>
          </w:p>
        </w:tc>
      </w:tr>
    </w:tbl>
    <w:p w14:paraId="6DBD2181" w14:textId="77777777" w:rsidR="008E6A8B" w:rsidRPr="008E6A8B" w:rsidRDefault="008E6A8B" w:rsidP="008E6A8B"/>
    <w:p w14:paraId="0BBB3FC9" w14:textId="77777777" w:rsidR="00283F45" w:rsidRDefault="00283F45" w:rsidP="00283F45">
      <w:pPr>
        <w:pStyle w:val="Heading1"/>
      </w:pPr>
      <w:r>
        <w:t>Methods</w:t>
      </w:r>
    </w:p>
    <w:p w14:paraId="298AC77B" w14:textId="77777777" w:rsidR="000D373A" w:rsidRDefault="000D373A" w:rsidP="000D373A">
      <w:pPr>
        <w:rPr>
          <w:lang w:eastAsia="zh-CN"/>
        </w:rPr>
      </w:pPr>
      <w:r w:rsidRPr="000D373A">
        <w:rPr>
          <w:lang w:eastAsia="zh-CN"/>
        </w:rPr>
        <w:t>Assuming the animal is only permeable to water, the energy required for osmoregulation can be described by an equation. We assume the work required to maintain the internal solute concentration is related to the solute concentration in the blood (C</w:t>
      </w:r>
      <w:r w:rsidRPr="000D373A">
        <w:rPr>
          <w:vertAlign w:val="subscript"/>
          <w:lang w:eastAsia="zh-CN"/>
        </w:rPr>
        <w:t>b</w:t>
      </w:r>
      <w:r w:rsidRPr="000D373A">
        <w:rPr>
          <w:lang w:eastAsia="zh-CN"/>
        </w:rPr>
        <w:t>) and environment (C</w:t>
      </w:r>
      <w:r w:rsidRPr="000D373A">
        <w:rPr>
          <w:vertAlign w:val="subscript"/>
          <w:lang w:eastAsia="zh-CN"/>
        </w:rPr>
        <w:t>m</w:t>
      </w:r>
      <w:r w:rsidRPr="000D373A">
        <w:rPr>
          <w:lang w:eastAsia="zh-CN"/>
        </w:rPr>
        <w:t>), temperature (T), and the amount of solutes lost in urine (V</w:t>
      </w:r>
      <w:r w:rsidRPr="000D373A">
        <w:rPr>
          <w:rFonts w:ascii="Symbol" w:hAnsi="Symbol"/>
          <w:lang w:eastAsia="zh-CN"/>
        </w:rPr>
        <w:t></w:t>
      </w:r>
      <w:r w:rsidRPr="000D373A">
        <w:rPr>
          <w:lang w:eastAsia="zh-CN"/>
        </w:rPr>
        <w:t>C</w:t>
      </w:r>
      <w:r w:rsidRPr="000D373A">
        <w:rPr>
          <w:vertAlign w:val="subscript"/>
          <w:lang w:eastAsia="zh-CN"/>
        </w:rPr>
        <w:t>u</w:t>
      </w:r>
      <w:r w:rsidRPr="000D373A">
        <w:rPr>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05C8" w14:paraId="26E62FBF" w14:textId="77777777" w:rsidTr="005308BC">
        <w:tc>
          <w:tcPr>
            <w:tcW w:w="4675" w:type="dxa"/>
            <w:vAlign w:val="center"/>
          </w:tcPr>
          <w:p w14:paraId="4C137BC5" w14:textId="77777777" w:rsidR="00F605C8" w:rsidRDefault="00F605C8" w:rsidP="005308BC">
            <w:pPr>
              <w:rPr>
                <w:lang w:eastAsia="zh-CN"/>
              </w:rPr>
            </w:pPr>
            <m:oMathPara>
              <m:oMath>
                <m:r>
                  <w:rPr>
                    <w:rFonts w:ascii="Cambria Math" w:hAnsi="Cambria Math"/>
                    <w:lang w:eastAsia="zh-CN"/>
                  </w:rPr>
                  <m:t>W=R×T×V×</m:t>
                </m:r>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u</m:t>
                    </m:r>
                  </m:sub>
                </m:sSub>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ln</m:t>
                    </m:r>
                  </m:fName>
                  <m:e>
                    <m:d>
                      <m:dPr>
                        <m:ctrlPr>
                          <w:rPr>
                            <w:rFonts w:ascii="Cambria Math" w:hAnsi="Cambria Math"/>
                            <w:i/>
                            <w:lang w:eastAsia="zh-CN"/>
                          </w:rPr>
                        </m:ctrlPr>
                      </m:dPr>
                      <m:e>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b</m:t>
                                </m:r>
                              </m:sub>
                            </m:sSub>
                          </m:num>
                          <m:den>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m</m:t>
                                </m:r>
                              </m:sub>
                            </m:sSub>
                          </m:den>
                        </m:f>
                      </m:e>
                    </m:d>
                  </m:e>
                </m:func>
              </m:oMath>
            </m:oMathPara>
          </w:p>
        </w:tc>
        <w:tc>
          <w:tcPr>
            <w:tcW w:w="4675" w:type="dxa"/>
            <w:vAlign w:val="center"/>
          </w:tcPr>
          <w:p w14:paraId="2280165A" w14:textId="77777777" w:rsidR="00F605C8" w:rsidRDefault="00F605C8" w:rsidP="005308BC">
            <w:pPr>
              <w:rPr>
                <w:lang w:eastAsia="zh-CN"/>
              </w:rPr>
            </w:pPr>
            <w:r>
              <w:rPr>
                <w:lang w:eastAsia="zh-CN"/>
              </w:rPr>
              <w:t xml:space="preserve">LaTeX Code: \[ </w:t>
            </w:r>
            <w:r w:rsidR="001461F1">
              <w:rPr>
                <w:lang w:eastAsia="zh-CN"/>
              </w:rPr>
              <w:t>W = R \times T \times V \times C_u \times \ln{\frac{C_b}{C_m}}</w:t>
            </w:r>
            <w:r>
              <w:rPr>
                <w:lang w:eastAsia="zh-CN"/>
              </w:rPr>
              <w:t xml:space="preserve"> \]</w:t>
            </w:r>
          </w:p>
        </w:tc>
      </w:tr>
    </w:tbl>
    <w:p w14:paraId="67C27CF0" w14:textId="77777777" w:rsidR="000D373A" w:rsidRPr="000D373A" w:rsidRDefault="000D373A" w:rsidP="000D373A">
      <w:pPr>
        <w:rPr>
          <w:lang w:eastAsia="zh-CN"/>
        </w:rPr>
      </w:pPr>
      <w:r w:rsidRPr="000D373A">
        <w:rPr>
          <w:lang w:eastAsia="zh-CN"/>
        </w:rPr>
        <w:t>We can plot W as a function of C</w:t>
      </w:r>
      <w:r w:rsidRPr="000D373A">
        <w:rPr>
          <w:vertAlign w:val="subscript"/>
          <w:lang w:eastAsia="zh-CN"/>
        </w:rPr>
        <w:t>b</w:t>
      </w:r>
      <w:r w:rsidRPr="000D373A">
        <w:rPr>
          <w:lang w:eastAsia="zh-CN"/>
        </w:rPr>
        <w:t>/C</w:t>
      </w:r>
      <w:r w:rsidRPr="000D373A">
        <w:rPr>
          <w:vertAlign w:val="subscript"/>
          <w:lang w:eastAsia="zh-CN"/>
        </w:rPr>
        <w:t>m</w:t>
      </w:r>
      <w:r w:rsidR="00E55656">
        <w:rPr>
          <w:lang w:eastAsia="zh-CN"/>
        </w:rPr>
        <w:t xml:space="preserve"> </w:t>
      </w:r>
      <w:r w:rsidRPr="000D373A">
        <w:rPr>
          <w:lang w:eastAsia="zh-CN"/>
        </w:rPr>
        <w:t>to understand how the concentration of solutes in the blood and surroundings affects the osmoregulation of an organism.</w:t>
      </w:r>
    </w:p>
    <w:p w14:paraId="2B3FF920" w14:textId="77777777" w:rsidR="008E6A8B" w:rsidRPr="008E6A8B" w:rsidRDefault="000D373A" w:rsidP="00454243">
      <w:pPr>
        <w:jc w:val="center"/>
        <w:rPr>
          <w:lang w:eastAsia="zh-CN"/>
        </w:rPr>
      </w:pPr>
      <w:r w:rsidRPr="000D373A">
        <w:rPr>
          <w:lang w:eastAsia="zh-CN"/>
        </w:rPr>
        <w:fldChar w:fldCharType="begin"/>
      </w:r>
      <w:r w:rsidRPr="000D373A">
        <w:rPr>
          <w:lang w:eastAsia="zh-CN"/>
        </w:rPr>
        <w:instrText xml:space="preserve"> INCLUDEPICTURE "http://www.tiem.utk.edu/~gross/bioed/webmodules/osmoreg.gif" \* MERGEFORMATINET </w:instrText>
      </w:r>
      <w:r w:rsidRPr="000D373A">
        <w:rPr>
          <w:lang w:eastAsia="zh-CN"/>
        </w:rPr>
        <w:fldChar w:fldCharType="separate"/>
      </w:r>
      <w:r w:rsidRPr="000D373A">
        <w:rPr>
          <w:noProof/>
          <w:lang w:eastAsia="zh-CN"/>
        </w:rPr>
        <w:drawing>
          <wp:inline distT="0" distB="0" distL="0" distR="0" wp14:anchorId="37199D53" wp14:editId="6CB53A56">
            <wp:extent cx="3657600" cy="2742069"/>
            <wp:effectExtent l="0" t="0" r="0" b="1270"/>
            <wp:docPr id="1" name="Picture 1" descr="http://www.tiem.utk.edu/~gross/bioed/webmodules/osmo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osmore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2069"/>
                    </a:xfrm>
                    <a:prstGeom prst="rect">
                      <a:avLst/>
                    </a:prstGeom>
                    <a:noFill/>
                    <a:ln>
                      <a:noFill/>
                    </a:ln>
                  </pic:spPr>
                </pic:pic>
              </a:graphicData>
            </a:graphic>
          </wp:inline>
        </w:drawing>
      </w:r>
      <w:r w:rsidRPr="000D373A">
        <w:rPr>
          <w:lang w:eastAsia="zh-CN"/>
        </w:rPr>
        <w:fldChar w:fldCharType="end"/>
      </w:r>
    </w:p>
    <w:p w14:paraId="504516B8" w14:textId="77777777" w:rsidR="00283F45" w:rsidRDefault="00283F45" w:rsidP="00283F45">
      <w:pPr>
        <w:pStyle w:val="Heading1"/>
      </w:pPr>
      <w:r w:rsidRPr="00283F45">
        <w:t>Interpretation</w:t>
      </w:r>
    </w:p>
    <w:p w14:paraId="05855F5F" w14:textId="77777777" w:rsidR="00454243" w:rsidRPr="000D373A" w:rsidRDefault="00454243" w:rsidP="00454243">
      <w:pPr>
        <w:rPr>
          <w:lang w:eastAsia="zh-CN"/>
        </w:rPr>
      </w:pPr>
      <w:r w:rsidRPr="000D373A">
        <w:rPr>
          <w:lang w:eastAsia="zh-CN"/>
        </w:rPr>
        <w:t>Here, osmotic work (W) involves active transport of ions into the organism to prevent the internal concentration from becoming too diluted when C</w:t>
      </w:r>
      <w:r w:rsidRPr="000D373A">
        <w:rPr>
          <w:vertAlign w:val="subscript"/>
          <w:lang w:eastAsia="zh-CN"/>
        </w:rPr>
        <w:t>b</w:t>
      </w:r>
      <w:r w:rsidR="00FC3B61">
        <w:rPr>
          <w:lang w:eastAsia="zh-CN"/>
        </w:rPr>
        <w:t xml:space="preserve"> </w:t>
      </w:r>
      <w:r w:rsidRPr="000D373A">
        <w:rPr>
          <w:lang w:eastAsia="zh-CN"/>
        </w:rPr>
        <w:t>&gt; C</w:t>
      </w:r>
      <w:r w:rsidRPr="000D373A">
        <w:rPr>
          <w:vertAlign w:val="subscript"/>
          <w:lang w:eastAsia="zh-CN"/>
        </w:rPr>
        <w:t>m</w:t>
      </w:r>
      <w:r w:rsidRPr="000D373A">
        <w:rPr>
          <w:lang w:eastAsia="zh-CN"/>
        </w:rPr>
        <w:t>. Notice that when C</w:t>
      </w:r>
      <w:r w:rsidRPr="000D373A">
        <w:rPr>
          <w:vertAlign w:val="subscript"/>
          <w:lang w:eastAsia="zh-CN"/>
        </w:rPr>
        <w:t>b</w:t>
      </w:r>
      <w:r w:rsidR="00FC3B61">
        <w:rPr>
          <w:lang w:eastAsia="zh-CN"/>
        </w:rPr>
        <w:t xml:space="preserve"> </w:t>
      </w:r>
      <w:r w:rsidRPr="000D373A">
        <w:rPr>
          <w:lang w:eastAsia="zh-CN"/>
        </w:rPr>
        <w:t>&lt; C</w:t>
      </w:r>
      <w:r w:rsidRPr="000D373A">
        <w:rPr>
          <w:vertAlign w:val="subscript"/>
          <w:lang w:eastAsia="zh-CN"/>
        </w:rPr>
        <w:t>m</w:t>
      </w:r>
      <w:r w:rsidRPr="000D373A">
        <w:rPr>
          <w:lang w:eastAsia="zh-CN"/>
        </w:rPr>
        <w:t>, water moves out of the organism. In this case, we are taking the natural log of a number less than 1, so the osmotic work is negative. This implies an organism must actively work to prevent the internal solute concentration from becoming too high as it loses water (opposite of the hyperosmotic situation).</w:t>
      </w:r>
    </w:p>
    <w:p w14:paraId="68A880C6" w14:textId="77777777" w:rsidR="00454243" w:rsidRPr="000D373A" w:rsidRDefault="00454243" w:rsidP="00454243">
      <w:pPr>
        <w:rPr>
          <w:lang w:eastAsia="zh-CN"/>
        </w:rPr>
      </w:pPr>
      <w:r w:rsidRPr="000D373A">
        <w:rPr>
          <w:lang w:eastAsia="zh-CN"/>
        </w:rPr>
        <w:lastRenderedPageBreak/>
        <w:t>By looking at the equation for osmotic work, we can determine what properties of an organism could reduce the amount of work required for osmoregulation. Potts (1954) collected the following data for three similar sized aquatic organisms.</w:t>
      </w:r>
    </w:p>
    <w:tbl>
      <w:tblPr>
        <w:tblW w:w="720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317"/>
        <w:gridCol w:w="1680"/>
        <w:gridCol w:w="1680"/>
        <w:gridCol w:w="1219"/>
        <w:gridCol w:w="1304"/>
      </w:tblGrid>
      <w:tr w:rsidR="00454243" w:rsidRPr="000D373A" w14:paraId="1211CF3F" w14:textId="77777777" w:rsidTr="00AE6A12">
        <w:trPr>
          <w:tblCellSpacing w:w="10" w:type="dxa"/>
        </w:trPr>
        <w:tc>
          <w:tcPr>
            <w:tcW w:w="950" w:type="pct"/>
            <w:hideMark/>
          </w:tcPr>
          <w:p w14:paraId="23610DCA" w14:textId="77777777" w:rsidR="00454243" w:rsidRPr="000D373A" w:rsidRDefault="00454243" w:rsidP="00AE6A12">
            <w:pPr>
              <w:pStyle w:val="TableContent"/>
              <w:rPr>
                <w:lang w:eastAsia="zh-CN"/>
              </w:rPr>
            </w:pPr>
            <w:r w:rsidRPr="000D373A">
              <w:rPr>
                <w:lang w:eastAsia="zh-CN"/>
              </w:rPr>
              <w:t>Animal</w:t>
            </w:r>
          </w:p>
        </w:tc>
        <w:tc>
          <w:tcPr>
            <w:tcW w:w="1200" w:type="pct"/>
            <w:hideMark/>
          </w:tcPr>
          <w:p w14:paraId="5D5ABA66" w14:textId="77777777" w:rsidR="00454243" w:rsidRPr="000D373A" w:rsidRDefault="00454243" w:rsidP="00AE6A12">
            <w:pPr>
              <w:pStyle w:val="TableContent"/>
              <w:rPr>
                <w:lang w:eastAsia="zh-CN"/>
              </w:rPr>
            </w:pPr>
            <w:r w:rsidRPr="000D373A">
              <w:rPr>
                <w:lang w:eastAsia="zh-CN"/>
              </w:rPr>
              <w:t>Blood Concentration (mmol/mL)</w:t>
            </w:r>
          </w:p>
        </w:tc>
        <w:tc>
          <w:tcPr>
            <w:tcW w:w="1150" w:type="pct"/>
            <w:hideMark/>
          </w:tcPr>
          <w:p w14:paraId="7CADC7D9" w14:textId="77777777" w:rsidR="00454243" w:rsidRPr="000D373A" w:rsidRDefault="00454243" w:rsidP="00AE6A12">
            <w:pPr>
              <w:pStyle w:val="TableContent"/>
              <w:rPr>
                <w:lang w:eastAsia="zh-CN"/>
              </w:rPr>
            </w:pPr>
            <w:r w:rsidRPr="000D373A">
              <w:rPr>
                <w:lang w:eastAsia="zh-CN"/>
              </w:rPr>
              <w:t>Urine Concentration (mmol/mL)</w:t>
            </w:r>
          </w:p>
        </w:tc>
        <w:tc>
          <w:tcPr>
            <w:tcW w:w="900" w:type="pct"/>
            <w:hideMark/>
          </w:tcPr>
          <w:p w14:paraId="31D8C625" w14:textId="77777777" w:rsidR="00454243" w:rsidRPr="000D373A" w:rsidRDefault="00454243" w:rsidP="00AE6A12">
            <w:pPr>
              <w:pStyle w:val="TableContent"/>
              <w:rPr>
                <w:lang w:eastAsia="zh-CN"/>
              </w:rPr>
            </w:pPr>
            <w:r w:rsidRPr="000D373A">
              <w:rPr>
                <w:lang w:eastAsia="zh-CN"/>
              </w:rPr>
              <w:t>Urine Volume (mL/hr)</w:t>
            </w:r>
          </w:p>
        </w:tc>
        <w:tc>
          <w:tcPr>
            <w:tcW w:w="900" w:type="pct"/>
            <w:hideMark/>
          </w:tcPr>
          <w:p w14:paraId="64364C16" w14:textId="77777777" w:rsidR="00454243" w:rsidRPr="000D373A" w:rsidRDefault="00454243" w:rsidP="00AE6A12">
            <w:pPr>
              <w:pStyle w:val="TableContent"/>
              <w:rPr>
                <w:lang w:eastAsia="zh-CN"/>
              </w:rPr>
            </w:pPr>
            <w:r w:rsidRPr="000D373A">
              <w:rPr>
                <w:lang w:eastAsia="zh-CN"/>
              </w:rPr>
              <w:t>Metabolic rate (cal/hr)</w:t>
            </w:r>
          </w:p>
        </w:tc>
      </w:tr>
      <w:tr w:rsidR="00454243" w:rsidRPr="000D373A" w14:paraId="5C3761B1" w14:textId="77777777" w:rsidTr="00AE6A12">
        <w:trPr>
          <w:tblCellSpacing w:w="10" w:type="dxa"/>
        </w:trPr>
        <w:tc>
          <w:tcPr>
            <w:tcW w:w="950" w:type="pct"/>
            <w:hideMark/>
          </w:tcPr>
          <w:p w14:paraId="504862E7" w14:textId="77777777" w:rsidR="00454243" w:rsidRPr="000D373A" w:rsidRDefault="00454243" w:rsidP="00AE6A12">
            <w:pPr>
              <w:pStyle w:val="TableContent"/>
              <w:rPr>
                <w:lang w:eastAsia="zh-CN"/>
              </w:rPr>
            </w:pPr>
            <w:r w:rsidRPr="000D373A">
              <w:rPr>
                <w:lang w:eastAsia="zh-CN"/>
              </w:rPr>
              <w:t>Mitten crab</w:t>
            </w:r>
          </w:p>
        </w:tc>
        <w:tc>
          <w:tcPr>
            <w:tcW w:w="1200" w:type="pct"/>
            <w:hideMark/>
          </w:tcPr>
          <w:p w14:paraId="0407088B" w14:textId="77777777" w:rsidR="00454243" w:rsidRPr="000D373A" w:rsidRDefault="00454243" w:rsidP="00AE6A12">
            <w:pPr>
              <w:pStyle w:val="TableContent"/>
              <w:rPr>
                <w:lang w:eastAsia="zh-CN"/>
              </w:rPr>
            </w:pPr>
            <w:r w:rsidRPr="000D373A">
              <w:rPr>
                <w:lang w:eastAsia="zh-CN"/>
              </w:rPr>
              <w:t>.320</w:t>
            </w:r>
          </w:p>
        </w:tc>
        <w:tc>
          <w:tcPr>
            <w:tcW w:w="1150" w:type="pct"/>
            <w:hideMark/>
          </w:tcPr>
          <w:p w14:paraId="1CDF810F" w14:textId="77777777" w:rsidR="00454243" w:rsidRPr="000D373A" w:rsidRDefault="00454243" w:rsidP="00AE6A12">
            <w:pPr>
              <w:pStyle w:val="TableContent"/>
              <w:rPr>
                <w:lang w:eastAsia="zh-CN"/>
              </w:rPr>
            </w:pPr>
            <w:r w:rsidRPr="000D373A">
              <w:rPr>
                <w:lang w:eastAsia="zh-CN"/>
              </w:rPr>
              <w:t>.320</w:t>
            </w:r>
          </w:p>
        </w:tc>
        <w:tc>
          <w:tcPr>
            <w:tcW w:w="900" w:type="pct"/>
            <w:hideMark/>
          </w:tcPr>
          <w:p w14:paraId="4566D7A4" w14:textId="77777777" w:rsidR="00454243" w:rsidRPr="000D373A" w:rsidRDefault="00454243" w:rsidP="00AE6A12">
            <w:pPr>
              <w:pStyle w:val="TableContent"/>
              <w:rPr>
                <w:lang w:eastAsia="zh-CN"/>
              </w:rPr>
            </w:pPr>
            <w:r w:rsidRPr="000D373A">
              <w:rPr>
                <w:lang w:eastAsia="zh-CN"/>
              </w:rPr>
              <w:t>.1</w:t>
            </w:r>
          </w:p>
        </w:tc>
        <w:tc>
          <w:tcPr>
            <w:tcW w:w="900" w:type="pct"/>
            <w:hideMark/>
          </w:tcPr>
          <w:p w14:paraId="156B9B74" w14:textId="77777777" w:rsidR="00454243" w:rsidRPr="000D373A" w:rsidRDefault="00454243" w:rsidP="00AE6A12">
            <w:pPr>
              <w:pStyle w:val="TableContent"/>
              <w:rPr>
                <w:lang w:eastAsia="zh-CN"/>
              </w:rPr>
            </w:pPr>
            <w:r w:rsidRPr="000D373A">
              <w:rPr>
                <w:lang w:eastAsia="zh-CN"/>
              </w:rPr>
              <w:t>14</w:t>
            </w:r>
          </w:p>
        </w:tc>
      </w:tr>
      <w:tr w:rsidR="00454243" w:rsidRPr="000D373A" w14:paraId="0B2F5F8C" w14:textId="77777777" w:rsidTr="00AE6A12">
        <w:trPr>
          <w:tblCellSpacing w:w="10" w:type="dxa"/>
        </w:trPr>
        <w:tc>
          <w:tcPr>
            <w:tcW w:w="950" w:type="pct"/>
            <w:hideMark/>
          </w:tcPr>
          <w:p w14:paraId="53ABB81D" w14:textId="77777777" w:rsidR="00454243" w:rsidRPr="000D373A" w:rsidRDefault="00454243" w:rsidP="00AE6A12">
            <w:pPr>
              <w:pStyle w:val="TableContent"/>
              <w:rPr>
                <w:lang w:eastAsia="zh-CN"/>
              </w:rPr>
            </w:pPr>
            <w:r w:rsidRPr="000D373A">
              <w:rPr>
                <w:lang w:eastAsia="zh-CN"/>
              </w:rPr>
              <w:t>Crayfish</w:t>
            </w:r>
          </w:p>
        </w:tc>
        <w:tc>
          <w:tcPr>
            <w:tcW w:w="1200" w:type="pct"/>
            <w:hideMark/>
          </w:tcPr>
          <w:p w14:paraId="7DC31130" w14:textId="77777777" w:rsidR="00454243" w:rsidRPr="000D373A" w:rsidRDefault="00454243" w:rsidP="00AE6A12">
            <w:pPr>
              <w:pStyle w:val="TableContent"/>
              <w:rPr>
                <w:lang w:eastAsia="zh-CN"/>
              </w:rPr>
            </w:pPr>
            <w:r w:rsidRPr="000D373A">
              <w:rPr>
                <w:lang w:eastAsia="zh-CN"/>
              </w:rPr>
              <w:t>.420</w:t>
            </w:r>
          </w:p>
        </w:tc>
        <w:tc>
          <w:tcPr>
            <w:tcW w:w="1150" w:type="pct"/>
            <w:hideMark/>
          </w:tcPr>
          <w:p w14:paraId="3F776AC7" w14:textId="77777777" w:rsidR="00454243" w:rsidRPr="000D373A" w:rsidRDefault="00454243" w:rsidP="00AE6A12">
            <w:pPr>
              <w:pStyle w:val="TableContent"/>
              <w:rPr>
                <w:lang w:eastAsia="zh-CN"/>
              </w:rPr>
            </w:pPr>
            <w:r w:rsidRPr="000D373A">
              <w:rPr>
                <w:lang w:eastAsia="zh-CN"/>
              </w:rPr>
              <w:t>.124</w:t>
            </w:r>
          </w:p>
        </w:tc>
        <w:tc>
          <w:tcPr>
            <w:tcW w:w="900" w:type="pct"/>
            <w:hideMark/>
          </w:tcPr>
          <w:p w14:paraId="6348365F" w14:textId="77777777" w:rsidR="00454243" w:rsidRPr="000D373A" w:rsidRDefault="00454243" w:rsidP="00AE6A12">
            <w:pPr>
              <w:pStyle w:val="TableContent"/>
              <w:rPr>
                <w:lang w:eastAsia="zh-CN"/>
              </w:rPr>
            </w:pPr>
            <w:r w:rsidRPr="000D373A">
              <w:rPr>
                <w:lang w:eastAsia="zh-CN"/>
              </w:rPr>
              <w:t>.1</w:t>
            </w:r>
          </w:p>
        </w:tc>
        <w:tc>
          <w:tcPr>
            <w:tcW w:w="900" w:type="pct"/>
            <w:hideMark/>
          </w:tcPr>
          <w:p w14:paraId="645AD1CC" w14:textId="77777777" w:rsidR="00454243" w:rsidRPr="000D373A" w:rsidRDefault="00454243" w:rsidP="00AE6A12">
            <w:pPr>
              <w:pStyle w:val="TableContent"/>
              <w:rPr>
                <w:lang w:eastAsia="zh-CN"/>
              </w:rPr>
            </w:pPr>
            <w:r w:rsidRPr="000D373A">
              <w:rPr>
                <w:lang w:eastAsia="zh-CN"/>
              </w:rPr>
              <w:t>10</w:t>
            </w:r>
          </w:p>
        </w:tc>
      </w:tr>
      <w:tr w:rsidR="00454243" w:rsidRPr="000D373A" w14:paraId="651935B7" w14:textId="77777777" w:rsidTr="00AE6A12">
        <w:trPr>
          <w:tblCellSpacing w:w="10" w:type="dxa"/>
        </w:trPr>
        <w:tc>
          <w:tcPr>
            <w:tcW w:w="950" w:type="pct"/>
            <w:hideMark/>
          </w:tcPr>
          <w:p w14:paraId="33712892" w14:textId="77777777" w:rsidR="00454243" w:rsidRPr="000D373A" w:rsidRDefault="00454243" w:rsidP="00AE6A12">
            <w:pPr>
              <w:pStyle w:val="TableContent"/>
              <w:rPr>
                <w:lang w:eastAsia="zh-CN"/>
              </w:rPr>
            </w:pPr>
            <w:r w:rsidRPr="000D373A">
              <w:rPr>
                <w:lang w:eastAsia="zh-CN"/>
              </w:rPr>
              <w:t>Clam</w:t>
            </w:r>
          </w:p>
        </w:tc>
        <w:tc>
          <w:tcPr>
            <w:tcW w:w="1200" w:type="pct"/>
            <w:hideMark/>
          </w:tcPr>
          <w:p w14:paraId="172E310C" w14:textId="77777777" w:rsidR="00454243" w:rsidRPr="000D373A" w:rsidRDefault="00454243" w:rsidP="00AE6A12">
            <w:pPr>
              <w:pStyle w:val="TableContent"/>
              <w:rPr>
                <w:lang w:eastAsia="zh-CN"/>
              </w:rPr>
            </w:pPr>
            <w:r w:rsidRPr="000D373A">
              <w:rPr>
                <w:lang w:eastAsia="zh-CN"/>
              </w:rPr>
              <w:t>.042</w:t>
            </w:r>
          </w:p>
        </w:tc>
        <w:tc>
          <w:tcPr>
            <w:tcW w:w="1150" w:type="pct"/>
            <w:hideMark/>
          </w:tcPr>
          <w:p w14:paraId="621C6230" w14:textId="77777777" w:rsidR="00454243" w:rsidRPr="000D373A" w:rsidRDefault="00454243" w:rsidP="00AE6A12">
            <w:pPr>
              <w:pStyle w:val="TableContent"/>
              <w:rPr>
                <w:lang w:eastAsia="zh-CN"/>
              </w:rPr>
            </w:pPr>
            <w:r w:rsidRPr="000D373A">
              <w:rPr>
                <w:lang w:eastAsia="zh-CN"/>
              </w:rPr>
              <w:t>.024</w:t>
            </w:r>
          </w:p>
        </w:tc>
        <w:tc>
          <w:tcPr>
            <w:tcW w:w="900" w:type="pct"/>
            <w:hideMark/>
          </w:tcPr>
          <w:p w14:paraId="75EFBA8E" w14:textId="77777777" w:rsidR="00454243" w:rsidRPr="000D373A" w:rsidRDefault="00454243" w:rsidP="00AE6A12">
            <w:pPr>
              <w:pStyle w:val="TableContent"/>
              <w:rPr>
                <w:lang w:eastAsia="zh-CN"/>
              </w:rPr>
            </w:pPr>
            <w:r w:rsidRPr="000D373A">
              <w:rPr>
                <w:lang w:eastAsia="zh-CN"/>
              </w:rPr>
              <w:t>.5</w:t>
            </w:r>
          </w:p>
        </w:tc>
        <w:tc>
          <w:tcPr>
            <w:tcW w:w="900" w:type="pct"/>
            <w:hideMark/>
          </w:tcPr>
          <w:p w14:paraId="08D4C1BD" w14:textId="77777777" w:rsidR="00454243" w:rsidRPr="000D373A" w:rsidRDefault="00454243" w:rsidP="00AE6A12">
            <w:pPr>
              <w:pStyle w:val="TableContent"/>
              <w:rPr>
                <w:lang w:eastAsia="zh-CN"/>
              </w:rPr>
            </w:pPr>
            <w:r w:rsidRPr="000D373A">
              <w:rPr>
                <w:lang w:eastAsia="zh-CN"/>
              </w:rPr>
              <w:t>1.2</w:t>
            </w:r>
          </w:p>
        </w:tc>
      </w:tr>
    </w:tbl>
    <w:p w14:paraId="132EA751" w14:textId="77777777" w:rsidR="00DF13CB" w:rsidRDefault="00DF13CB" w:rsidP="008E6A8B">
      <w:pPr>
        <w:rPr>
          <w:lang w:eastAsia="zh-CN"/>
        </w:rPr>
      </w:pPr>
    </w:p>
    <w:p w14:paraId="7FD58F3C" w14:textId="77777777" w:rsidR="008E6A8B" w:rsidRPr="008E6A8B" w:rsidRDefault="00454243" w:rsidP="008E6A8B">
      <w:pPr>
        <w:rPr>
          <w:lang w:eastAsia="zh-CN"/>
        </w:rPr>
      </w:pPr>
      <w:r w:rsidRPr="000D373A">
        <w:rPr>
          <w:lang w:eastAsia="zh-CN"/>
        </w:rPr>
        <w:t>One way to reduce work is to reduce the concentration of solutes in the urine (C</w:t>
      </w:r>
      <w:r w:rsidRPr="000D373A">
        <w:rPr>
          <w:vertAlign w:val="subscript"/>
          <w:lang w:eastAsia="zh-CN"/>
        </w:rPr>
        <w:t>u</w:t>
      </w:r>
      <w:r w:rsidRPr="000D373A">
        <w:rPr>
          <w:lang w:eastAsia="zh-CN"/>
        </w:rPr>
        <w:t>). This means an animal like the crayfish, that reabsorbs solutes from urine, has a considerable energy savings. For animals like the mitten crab with high solute concentrations in the blood or who lose a large amount of solutes through urine, osmotic work will be quite high. In other words, a high metabolic rate is necessary to maintain a stable internal state. Similarly, animals with low metabolic rates must maintain low osmotic work. An animal like the clam, who loses a high volume of urine (V), must maintain dilute blood (C</w:t>
      </w:r>
      <w:r w:rsidRPr="000D373A">
        <w:rPr>
          <w:vertAlign w:val="subscript"/>
          <w:lang w:eastAsia="zh-CN"/>
        </w:rPr>
        <w:t>b</w:t>
      </w:r>
      <w:r w:rsidRPr="000D373A">
        <w:rPr>
          <w:lang w:eastAsia="zh-CN"/>
        </w:rPr>
        <w:t>) and urine (C</w:t>
      </w:r>
      <w:r w:rsidRPr="000D373A">
        <w:rPr>
          <w:vertAlign w:val="subscript"/>
          <w:lang w:eastAsia="zh-CN"/>
        </w:rPr>
        <w:t>u</w:t>
      </w:r>
      <w:r w:rsidRPr="000D373A">
        <w:rPr>
          <w:lang w:eastAsia="zh-CN"/>
        </w:rPr>
        <w:t>) in order to survive.</w:t>
      </w:r>
    </w:p>
    <w:p w14:paraId="3EE4F592" w14:textId="77777777" w:rsidR="00283F45" w:rsidRDefault="00283F45" w:rsidP="00283F45">
      <w:pPr>
        <w:pStyle w:val="Heading1"/>
      </w:pPr>
      <w:r>
        <w:t>Conclusion</w:t>
      </w:r>
    </w:p>
    <w:p w14:paraId="70ADB6C8" w14:textId="77777777" w:rsidR="008E6A8B" w:rsidRPr="008E6A8B" w:rsidRDefault="00151795" w:rsidP="008E6A8B">
      <w:r w:rsidRPr="00151795">
        <w:t>Many aquatic animals must expend energy in order to maintain an internal ionic balance. Animals, however, differ in mechanisms they utilize to minimize osmotic work. Quantifying osmotic work can help us understand these properties.</w:t>
      </w:r>
    </w:p>
    <w:p w14:paraId="534A0134" w14:textId="77777777" w:rsidR="008E6A8B" w:rsidRDefault="008E6A8B" w:rsidP="00283F45">
      <w:pPr>
        <w:pStyle w:val="Heading1"/>
      </w:pPr>
      <w:r>
        <w:t>Additional Questions</w:t>
      </w:r>
    </w:p>
    <w:p w14:paraId="591D0D1E" w14:textId="77777777" w:rsidR="002A7088" w:rsidRDefault="002A7088" w:rsidP="002A7088">
      <w:pPr>
        <w:rPr>
          <w:lang w:eastAsia="zh-CN"/>
        </w:rPr>
      </w:pPr>
      <w:r>
        <w:t>1. Calculate osmotic work for the data from Potts using the equation for osmotic work. (R = 0.00199 cal/(mmol K), T = 300 K, C</w:t>
      </w:r>
      <w:r>
        <w:rPr>
          <w:vertAlign w:val="subscript"/>
        </w:rPr>
        <w:t>m</w:t>
      </w:r>
      <w:r>
        <w:t xml:space="preserve"> = .006mmol/mL).</w:t>
      </w:r>
    </w:p>
    <w:p w14:paraId="4A8D20F3" w14:textId="77777777" w:rsidR="008E6A8B" w:rsidRPr="008E6A8B" w:rsidRDefault="002A7088" w:rsidP="008E6A8B">
      <w:r>
        <w:t>2. What happens to osmotic work (W) as temperature (T) increases? What can an organism do to meet the new energy need?</w:t>
      </w:r>
    </w:p>
    <w:p w14:paraId="2335D715" w14:textId="77777777" w:rsidR="00283F45" w:rsidRDefault="00283F45" w:rsidP="00283F45">
      <w:pPr>
        <w:pStyle w:val="Heading1"/>
      </w:pPr>
      <w:r>
        <w:t>Source</w:t>
      </w:r>
    </w:p>
    <w:p w14:paraId="6388FB12" w14:textId="77777777" w:rsidR="003418F4" w:rsidRDefault="003418F4" w:rsidP="003418F4">
      <w:r>
        <w:t xml:space="preserve">Potts, W. T. W. 1954. The energetics of osmostic regulation in brackish and freshwater animals. </w:t>
      </w:r>
      <w:r w:rsidRPr="003457CC">
        <w:rPr>
          <w:i/>
        </w:rPr>
        <w:t>Journal of Experimental Biology 31</w:t>
      </w:r>
      <w:r>
        <w:t>:618-630.</w:t>
      </w:r>
    </w:p>
    <w:p w14:paraId="1914D575" w14:textId="77777777" w:rsidR="008E6A8B" w:rsidRDefault="003418F4" w:rsidP="003418F4">
      <w:r>
        <w:lastRenderedPageBreak/>
        <w:t xml:space="preserve">Schmidt-Nielsen, K. 1990. </w:t>
      </w:r>
      <w:r w:rsidRPr="00257CBF">
        <w:rPr>
          <w:i/>
        </w:rPr>
        <w:t>Animal Physiology: Adaptation and environment.</w:t>
      </w:r>
      <w:r>
        <w:t xml:space="preserve"> Cambridge University Press, Cambridge</w:t>
      </w:r>
    </w:p>
    <w:p w14:paraId="4F4D9CE7" w14:textId="77777777" w:rsidR="00A207B5" w:rsidRPr="00283F45" w:rsidRDefault="00A207B5" w:rsidP="00283F45">
      <w:pPr>
        <w:pStyle w:val="Heading1"/>
      </w:pPr>
      <w:r w:rsidRPr="00283F45">
        <w:t>About this Resource</w:t>
      </w:r>
    </w:p>
    <w:p w14:paraId="6F893AFB"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7EA8B30E"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8EA144D"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B1CF" w14:textId="77777777" w:rsidR="00DB2FBB" w:rsidRDefault="00DB2FBB" w:rsidP="00A207B5">
      <w:r>
        <w:separator/>
      </w:r>
    </w:p>
  </w:endnote>
  <w:endnote w:type="continuationSeparator" w:id="0">
    <w:p w14:paraId="51062A12" w14:textId="77777777" w:rsidR="00DB2FBB" w:rsidRDefault="00DB2FBB" w:rsidP="00A207B5">
      <w:r>
        <w:continuationSeparator/>
      </w:r>
    </w:p>
  </w:endnote>
  <w:endnote w:id="1">
    <w:p w14:paraId="643C302D" w14:textId="77777777" w:rsidR="00A207B5" w:rsidRDefault="00A207B5" w:rsidP="00A207B5">
      <w:pPr>
        <w:pStyle w:val="EndnoteText"/>
      </w:pPr>
      <w:r>
        <w:rPr>
          <w:rStyle w:val="EndnoteReference"/>
        </w:rPr>
        <w:endnoteRef/>
      </w:r>
      <w:r>
        <w:t xml:space="preserve"> http://www.tiem.utk.edu/~gross/bioed/</w:t>
      </w:r>
    </w:p>
  </w:endnote>
  <w:endnote w:id="2">
    <w:p w14:paraId="74112781" w14:textId="77777777" w:rsidR="00A207B5" w:rsidRDefault="00A207B5" w:rsidP="00A207B5">
      <w:pPr>
        <w:pStyle w:val="EndnoteText"/>
      </w:pPr>
      <w:r>
        <w:rPr>
          <w:rStyle w:val="EndnoteReference"/>
        </w:rPr>
        <w:endnoteRef/>
      </w:r>
      <w:r>
        <w:t xml:space="preserve"> https://qubeshub.org/community/groups/quantbioatcc/</w:t>
      </w:r>
    </w:p>
  </w:endnote>
  <w:endnote w:id="3">
    <w:p w14:paraId="5125750D"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50850DC" w14:textId="2C4A6760" w:rsidR="00A207B5" w:rsidRDefault="00A207B5" w:rsidP="00A207B5">
      <w:pPr>
        <w:pStyle w:val="EndnoteText"/>
      </w:pPr>
      <w:r>
        <w:rPr>
          <w:rStyle w:val="EndnoteReference"/>
        </w:rPr>
        <w:endnoteRef/>
      </w:r>
      <w:r>
        <w:t xml:space="preserve"> </w:t>
      </w:r>
      <w:r w:rsidRPr="00B50C5B">
        <w:t>https://qubeshub.org/qubesresources/publications/</w:t>
      </w:r>
      <w:r w:rsidR="000E2E4C">
        <w:t>1080</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30A9" w14:textId="77777777" w:rsidR="00DB2FBB" w:rsidRDefault="00DB2FBB" w:rsidP="00A207B5">
      <w:r>
        <w:separator/>
      </w:r>
    </w:p>
  </w:footnote>
  <w:footnote w:type="continuationSeparator" w:id="0">
    <w:p w14:paraId="243D401A" w14:textId="77777777" w:rsidR="00DB2FBB" w:rsidRDefault="00DB2FBB"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78"/>
    <w:rsid w:val="0004219F"/>
    <w:rsid w:val="000901A9"/>
    <w:rsid w:val="000D373A"/>
    <w:rsid w:val="000D79DD"/>
    <w:rsid w:val="000E2E4C"/>
    <w:rsid w:val="001461F1"/>
    <w:rsid w:val="00151795"/>
    <w:rsid w:val="001E2492"/>
    <w:rsid w:val="00242A65"/>
    <w:rsid w:val="00257CBF"/>
    <w:rsid w:val="00283F45"/>
    <w:rsid w:val="002A1482"/>
    <w:rsid w:val="002A7088"/>
    <w:rsid w:val="002C71F1"/>
    <w:rsid w:val="002D69F8"/>
    <w:rsid w:val="00302242"/>
    <w:rsid w:val="003418F4"/>
    <w:rsid w:val="003457CC"/>
    <w:rsid w:val="003607A8"/>
    <w:rsid w:val="00454243"/>
    <w:rsid w:val="004C6ACD"/>
    <w:rsid w:val="005308BC"/>
    <w:rsid w:val="005563E0"/>
    <w:rsid w:val="00621462"/>
    <w:rsid w:val="00667B7F"/>
    <w:rsid w:val="00735464"/>
    <w:rsid w:val="007F0B29"/>
    <w:rsid w:val="00893506"/>
    <w:rsid w:val="00897E96"/>
    <w:rsid w:val="008C6F56"/>
    <w:rsid w:val="008E6A8B"/>
    <w:rsid w:val="009E4978"/>
    <w:rsid w:val="009F2F12"/>
    <w:rsid w:val="00A207B5"/>
    <w:rsid w:val="00AE6A12"/>
    <w:rsid w:val="00BE3B85"/>
    <w:rsid w:val="00C93DA8"/>
    <w:rsid w:val="00CD3585"/>
    <w:rsid w:val="00DB2FBB"/>
    <w:rsid w:val="00DB5A46"/>
    <w:rsid w:val="00DF13CB"/>
    <w:rsid w:val="00E55656"/>
    <w:rsid w:val="00E92C55"/>
    <w:rsid w:val="00F605C8"/>
    <w:rsid w:val="00FC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BD0856"/>
  <w15:chartTrackingRefBased/>
  <w15:docId w15:val="{D49B14E2-C530-CC44-B4B8-249A5D10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2A1482"/>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F6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5C8"/>
    <w:rPr>
      <w:color w:val="808080"/>
    </w:rPr>
  </w:style>
  <w:style w:type="paragraph" w:styleId="BalloonText">
    <w:name w:val="Balloon Text"/>
    <w:basedOn w:val="Normal"/>
    <w:link w:val="BalloonTextChar"/>
    <w:uiPriority w:val="99"/>
    <w:semiHidden/>
    <w:unhideWhenUsed/>
    <w:rsid w:val="000E2E4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E2E4C"/>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159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7917452">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362047644">
      <w:bodyDiv w:val="1"/>
      <w:marLeft w:val="0"/>
      <w:marRight w:val="0"/>
      <w:marTop w:val="0"/>
      <w:marBottom w:val="0"/>
      <w:divBdr>
        <w:top w:val="none" w:sz="0" w:space="0" w:color="auto"/>
        <w:left w:val="none" w:sz="0" w:space="0" w:color="auto"/>
        <w:bottom w:val="none" w:sz="0" w:space="0" w:color="auto"/>
        <w:right w:val="none" w:sz="0" w:space="0" w:color="auto"/>
      </w:divBdr>
    </w:div>
    <w:div w:id="1513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25</cp:revision>
  <dcterms:created xsi:type="dcterms:W3CDTF">2019-01-17T22:26:00Z</dcterms:created>
  <dcterms:modified xsi:type="dcterms:W3CDTF">2019-02-15T04:25:00Z</dcterms:modified>
</cp:coreProperties>
</file>