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8BE5" w14:textId="6CC56DBD" w:rsidR="00A207B5" w:rsidRPr="00A207B5" w:rsidRDefault="00291ED4" w:rsidP="00A207B5">
      <w:pPr>
        <w:pStyle w:val="Title"/>
      </w:pPr>
      <w:r>
        <w:t>Sperm Mo</w:t>
      </w:r>
      <w:r w:rsidR="00D37836">
        <w:t>t</w:t>
      </w:r>
      <w:bookmarkStart w:id="0" w:name="_GoBack"/>
      <w:bookmarkEnd w:id="0"/>
      <w:r>
        <w:t>ility</w:t>
      </w:r>
    </w:p>
    <w:p w14:paraId="0ACB96ED" w14:textId="77777777" w:rsidR="00A207B5" w:rsidRDefault="00A207B5" w:rsidP="00283F45">
      <w:pPr>
        <w:pStyle w:val="Heading1"/>
      </w:pPr>
      <w:r w:rsidRPr="00283F45">
        <w:t>Introduction</w:t>
      </w:r>
    </w:p>
    <w:p w14:paraId="3F69C78E" w14:textId="77777777" w:rsidR="008E6A8B" w:rsidRPr="008E6A8B" w:rsidRDefault="00291ED4" w:rsidP="008E6A8B">
      <w:r w:rsidRPr="00291ED4">
        <w:t>Mammalian sperm cells consist of a head, midpiece, and flagellum. The midpiece is densely packed with mitochondria. These mitochondria provide energy in the form of ATP to the flagellum to propel the cell.</w:t>
      </w:r>
    </w:p>
    <w:p w14:paraId="58197B09" w14:textId="77777777" w:rsidR="00283F45" w:rsidRDefault="00283F45" w:rsidP="00283F45">
      <w:pPr>
        <w:pStyle w:val="Heading1"/>
      </w:pPr>
      <w:r w:rsidRPr="00283F45">
        <w:t>Importance</w:t>
      </w:r>
    </w:p>
    <w:p w14:paraId="6491EA0D" w14:textId="77777777" w:rsidR="008E6A8B" w:rsidRPr="008E6A8B" w:rsidRDefault="00291ED4" w:rsidP="008E6A8B">
      <w:r w:rsidRPr="00291ED4">
        <w:t>Movement of the flagellum depends on properties of the sperm and surrounding medium. We can quantify expected flagellum movement and compare it to actual data to see how efficient mammalian sperm are using ATP.</w:t>
      </w:r>
    </w:p>
    <w:p w14:paraId="4CCCD022" w14:textId="77777777" w:rsidR="00283F45" w:rsidRDefault="00283F45" w:rsidP="00283F45">
      <w:pPr>
        <w:pStyle w:val="Heading1"/>
      </w:pPr>
      <w:r>
        <w:t>Questions</w:t>
      </w:r>
    </w:p>
    <w:p w14:paraId="68599944" w14:textId="77777777" w:rsidR="008E6A8B" w:rsidRPr="008E6A8B" w:rsidRDefault="00291ED4" w:rsidP="008E6A8B">
      <w:r w:rsidRPr="00291ED4">
        <w:t>How can we quantify sperm movement? How efficient are mammalian sperm at converting ATP to flagellar movement?</w:t>
      </w:r>
    </w:p>
    <w:p w14:paraId="5059BBA4" w14:textId="77777777" w:rsidR="00283F45" w:rsidRDefault="00283F45" w:rsidP="00283F45">
      <w:pPr>
        <w:pStyle w:val="Heading1"/>
      </w:pPr>
      <w:r>
        <w:t>Variables</w:t>
      </w:r>
    </w:p>
    <w:tbl>
      <w:tblPr>
        <w:tblW w:w="405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544"/>
        <w:gridCol w:w="3506"/>
      </w:tblGrid>
      <w:tr w:rsidR="00D333F4" w:rsidRPr="00D333F4" w14:paraId="44EC6D5A" w14:textId="77777777" w:rsidTr="00D333F4">
        <w:trPr>
          <w:tblCellSpacing w:w="10" w:type="dxa"/>
        </w:trPr>
        <w:tc>
          <w:tcPr>
            <w:tcW w:w="550" w:type="pct"/>
            <w:hideMark/>
          </w:tcPr>
          <w:p w14:paraId="1D8058AC" w14:textId="77777777" w:rsidR="00D333F4" w:rsidRPr="00D333F4" w:rsidRDefault="00D333F4" w:rsidP="00D333F4">
            <w:pPr>
              <w:pStyle w:val="TableContent"/>
              <w:rPr>
                <w:lang w:eastAsia="zh-CN"/>
              </w:rPr>
            </w:pPr>
            <w:r w:rsidRPr="00D333F4">
              <w:rPr>
                <w:lang w:eastAsia="zh-CN"/>
              </w:rPr>
              <w:t>f</w:t>
            </w:r>
          </w:p>
        </w:tc>
        <w:tc>
          <w:tcPr>
            <w:tcW w:w="4450" w:type="pct"/>
            <w:hideMark/>
          </w:tcPr>
          <w:p w14:paraId="5FD68D02" w14:textId="77777777" w:rsidR="00D333F4" w:rsidRPr="00D333F4" w:rsidRDefault="00D333F4" w:rsidP="00D333F4">
            <w:pPr>
              <w:pStyle w:val="TableContent"/>
              <w:rPr>
                <w:lang w:eastAsia="zh-CN"/>
              </w:rPr>
            </w:pPr>
            <w:r w:rsidRPr="00D333F4">
              <w:rPr>
                <w:lang w:eastAsia="zh-CN"/>
              </w:rPr>
              <w:t>beat frequency of flagellum (Hz)</w:t>
            </w:r>
          </w:p>
        </w:tc>
      </w:tr>
      <w:tr w:rsidR="00D333F4" w:rsidRPr="00D333F4" w14:paraId="48D106BE" w14:textId="77777777" w:rsidTr="00D333F4">
        <w:trPr>
          <w:tblCellSpacing w:w="10" w:type="dxa"/>
        </w:trPr>
        <w:tc>
          <w:tcPr>
            <w:tcW w:w="550" w:type="pct"/>
            <w:hideMark/>
          </w:tcPr>
          <w:p w14:paraId="3D2BF78D" w14:textId="77777777" w:rsidR="00D333F4" w:rsidRPr="00D333F4" w:rsidRDefault="00D333F4" w:rsidP="00D333F4">
            <w:pPr>
              <w:pStyle w:val="TableContent"/>
              <w:rPr>
                <w:lang w:eastAsia="zh-CN"/>
              </w:rPr>
            </w:pPr>
            <w:r w:rsidRPr="00D333F4">
              <w:rPr>
                <w:lang w:eastAsia="zh-CN"/>
              </w:rPr>
              <w:t>E</w:t>
            </w:r>
          </w:p>
        </w:tc>
        <w:tc>
          <w:tcPr>
            <w:tcW w:w="4450" w:type="pct"/>
            <w:hideMark/>
          </w:tcPr>
          <w:p w14:paraId="5AC4BE9A" w14:textId="77777777" w:rsidR="00D333F4" w:rsidRPr="00D333F4" w:rsidRDefault="00D333F4" w:rsidP="00D333F4">
            <w:pPr>
              <w:pStyle w:val="TableContent"/>
              <w:rPr>
                <w:lang w:eastAsia="zh-CN"/>
              </w:rPr>
            </w:pPr>
            <w:r w:rsidRPr="00D333F4">
              <w:rPr>
                <w:lang w:eastAsia="zh-CN"/>
              </w:rPr>
              <w:t>production rate of energy from ATP per volume of mitochondria (ergs</w:t>
            </w:r>
            <w:proofErr w:type="gramStart"/>
            <w:r w:rsidRPr="00D333F4">
              <w:rPr>
                <w:lang w:eastAsia="zh-CN"/>
              </w:rPr>
              <w:t>/(</w:t>
            </w:r>
            <w:proofErr w:type="gramEnd"/>
            <w:r w:rsidRPr="00D333F4">
              <w:rPr>
                <w:rFonts w:ascii="Symbol" w:hAnsi="Symbol"/>
                <w:lang w:eastAsia="zh-CN"/>
              </w:rPr>
              <w:t></w:t>
            </w:r>
            <w:r w:rsidRPr="00D333F4">
              <w:rPr>
                <w:lang w:eastAsia="zh-CN"/>
              </w:rPr>
              <w:t>m</w:t>
            </w:r>
            <w:r w:rsidRPr="00D333F4">
              <w:rPr>
                <w:vertAlign w:val="superscript"/>
                <w:lang w:eastAsia="zh-CN"/>
              </w:rPr>
              <w:t>3</w:t>
            </w:r>
            <w:r w:rsidRPr="00D333F4">
              <w:rPr>
                <w:lang w:eastAsia="zh-CN"/>
              </w:rPr>
              <w:t> s)</w:t>
            </w:r>
          </w:p>
        </w:tc>
      </w:tr>
      <w:tr w:rsidR="00D333F4" w:rsidRPr="00D333F4" w14:paraId="1DCD49D4" w14:textId="77777777" w:rsidTr="00D333F4">
        <w:trPr>
          <w:tblCellSpacing w:w="10" w:type="dxa"/>
        </w:trPr>
        <w:tc>
          <w:tcPr>
            <w:tcW w:w="550" w:type="pct"/>
            <w:hideMark/>
          </w:tcPr>
          <w:p w14:paraId="15FC76FA" w14:textId="77777777" w:rsidR="00D333F4" w:rsidRPr="00D333F4" w:rsidRDefault="00D333F4" w:rsidP="00D333F4">
            <w:pPr>
              <w:pStyle w:val="TableContent"/>
              <w:rPr>
                <w:lang w:eastAsia="zh-CN"/>
              </w:rPr>
            </w:pPr>
            <w:r w:rsidRPr="00D333F4">
              <w:rPr>
                <w:lang w:eastAsia="zh-CN"/>
              </w:rPr>
              <w:t>M</w:t>
            </w:r>
          </w:p>
        </w:tc>
        <w:tc>
          <w:tcPr>
            <w:tcW w:w="4450" w:type="pct"/>
            <w:hideMark/>
          </w:tcPr>
          <w:p w14:paraId="116D0108" w14:textId="77777777" w:rsidR="00D333F4" w:rsidRPr="00D333F4" w:rsidRDefault="00D333F4" w:rsidP="00D333F4">
            <w:pPr>
              <w:pStyle w:val="TableContent"/>
              <w:rPr>
                <w:lang w:eastAsia="zh-CN"/>
              </w:rPr>
            </w:pPr>
            <w:r w:rsidRPr="00D333F4">
              <w:rPr>
                <w:lang w:eastAsia="zh-CN"/>
              </w:rPr>
              <w:t>mitochondrial volume (</w:t>
            </w:r>
            <w:r w:rsidRPr="00D333F4">
              <w:rPr>
                <w:rFonts w:ascii="Symbol" w:hAnsi="Symbol"/>
                <w:lang w:eastAsia="zh-CN"/>
              </w:rPr>
              <w:t></w:t>
            </w:r>
            <w:r w:rsidRPr="00D333F4">
              <w:rPr>
                <w:lang w:eastAsia="zh-CN"/>
              </w:rPr>
              <w:t>m</w:t>
            </w:r>
            <w:r w:rsidRPr="00D333F4">
              <w:rPr>
                <w:vertAlign w:val="superscript"/>
                <w:lang w:eastAsia="zh-CN"/>
              </w:rPr>
              <w:t>3</w:t>
            </w:r>
            <w:r w:rsidRPr="00D333F4">
              <w:rPr>
                <w:lang w:eastAsia="zh-CN"/>
              </w:rPr>
              <w:t>)</w:t>
            </w:r>
          </w:p>
        </w:tc>
      </w:tr>
      <w:tr w:rsidR="00D333F4" w:rsidRPr="00D333F4" w14:paraId="053D0DF5" w14:textId="77777777" w:rsidTr="00D333F4">
        <w:trPr>
          <w:tblCellSpacing w:w="10" w:type="dxa"/>
        </w:trPr>
        <w:tc>
          <w:tcPr>
            <w:tcW w:w="550" w:type="pct"/>
            <w:hideMark/>
          </w:tcPr>
          <w:p w14:paraId="67960D26" w14:textId="77777777" w:rsidR="00D333F4" w:rsidRPr="00D333F4" w:rsidRDefault="00D333F4" w:rsidP="00D333F4">
            <w:pPr>
              <w:pStyle w:val="TableContent"/>
              <w:rPr>
                <w:lang w:eastAsia="zh-CN"/>
              </w:rPr>
            </w:pPr>
            <w:r w:rsidRPr="00D333F4">
              <w:rPr>
                <w:lang w:eastAsia="zh-CN"/>
              </w:rPr>
              <w:t>v</w:t>
            </w:r>
          </w:p>
        </w:tc>
        <w:tc>
          <w:tcPr>
            <w:tcW w:w="4450" w:type="pct"/>
            <w:hideMark/>
          </w:tcPr>
          <w:p w14:paraId="0283616C" w14:textId="77777777" w:rsidR="00D333F4" w:rsidRPr="00D333F4" w:rsidRDefault="00D333F4" w:rsidP="00D333F4">
            <w:pPr>
              <w:pStyle w:val="TableContent"/>
              <w:rPr>
                <w:lang w:eastAsia="zh-CN"/>
              </w:rPr>
            </w:pPr>
            <w:r w:rsidRPr="00D333F4">
              <w:rPr>
                <w:lang w:eastAsia="zh-CN"/>
              </w:rPr>
              <w:t>viscosity of surrounding medium (poise)</w:t>
            </w:r>
          </w:p>
        </w:tc>
      </w:tr>
      <w:tr w:rsidR="00D333F4" w:rsidRPr="00D333F4" w14:paraId="51F2E66C" w14:textId="77777777" w:rsidTr="00D333F4">
        <w:trPr>
          <w:tblCellSpacing w:w="10" w:type="dxa"/>
        </w:trPr>
        <w:tc>
          <w:tcPr>
            <w:tcW w:w="550" w:type="pct"/>
            <w:hideMark/>
          </w:tcPr>
          <w:p w14:paraId="124D1972" w14:textId="77777777" w:rsidR="00D333F4" w:rsidRPr="00D333F4" w:rsidRDefault="00D333F4" w:rsidP="00D333F4">
            <w:pPr>
              <w:pStyle w:val="TableContent"/>
              <w:rPr>
                <w:lang w:eastAsia="zh-CN"/>
              </w:rPr>
            </w:pPr>
            <w:r w:rsidRPr="00D333F4">
              <w:rPr>
                <w:lang w:eastAsia="zh-CN"/>
              </w:rPr>
              <w:t>L</w:t>
            </w:r>
          </w:p>
        </w:tc>
        <w:tc>
          <w:tcPr>
            <w:tcW w:w="4450" w:type="pct"/>
            <w:hideMark/>
          </w:tcPr>
          <w:p w14:paraId="32D5DFAE" w14:textId="77777777" w:rsidR="00D333F4" w:rsidRPr="00D333F4" w:rsidRDefault="00D333F4" w:rsidP="00D333F4">
            <w:pPr>
              <w:pStyle w:val="TableContent"/>
              <w:rPr>
                <w:lang w:eastAsia="zh-CN"/>
              </w:rPr>
            </w:pPr>
            <w:r w:rsidRPr="00D333F4">
              <w:rPr>
                <w:lang w:eastAsia="zh-CN"/>
              </w:rPr>
              <w:t>length of flagellum (</w:t>
            </w:r>
            <w:r w:rsidRPr="00D333F4">
              <w:rPr>
                <w:rFonts w:ascii="Symbol" w:hAnsi="Symbol"/>
                <w:lang w:eastAsia="zh-CN"/>
              </w:rPr>
              <w:t></w:t>
            </w:r>
            <w:r w:rsidRPr="00D333F4">
              <w:rPr>
                <w:lang w:eastAsia="zh-CN"/>
              </w:rPr>
              <w:t>m)</w:t>
            </w:r>
          </w:p>
        </w:tc>
      </w:tr>
      <w:tr w:rsidR="00D333F4" w:rsidRPr="00D333F4" w14:paraId="4A5D61DD" w14:textId="77777777" w:rsidTr="00D333F4">
        <w:trPr>
          <w:tblCellSpacing w:w="10" w:type="dxa"/>
        </w:trPr>
        <w:tc>
          <w:tcPr>
            <w:tcW w:w="550" w:type="pct"/>
            <w:hideMark/>
          </w:tcPr>
          <w:p w14:paraId="6E7E9503" w14:textId="77777777" w:rsidR="00D333F4" w:rsidRPr="00D333F4" w:rsidRDefault="00D333F4" w:rsidP="00D333F4">
            <w:pPr>
              <w:pStyle w:val="TableContent"/>
              <w:rPr>
                <w:lang w:eastAsia="zh-CN"/>
              </w:rPr>
            </w:pPr>
            <w:r w:rsidRPr="00D333F4">
              <w:rPr>
                <w:lang w:eastAsia="zh-CN"/>
              </w:rPr>
              <w:t>p</w:t>
            </w:r>
          </w:p>
        </w:tc>
        <w:tc>
          <w:tcPr>
            <w:tcW w:w="4450" w:type="pct"/>
            <w:hideMark/>
          </w:tcPr>
          <w:p w14:paraId="09277919" w14:textId="77777777" w:rsidR="00D333F4" w:rsidRPr="00D333F4" w:rsidRDefault="00D333F4" w:rsidP="00D333F4">
            <w:pPr>
              <w:pStyle w:val="TableContent"/>
              <w:rPr>
                <w:lang w:eastAsia="zh-CN"/>
              </w:rPr>
            </w:pPr>
            <w:r w:rsidRPr="00D333F4">
              <w:rPr>
                <w:lang w:eastAsia="zh-CN"/>
              </w:rPr>
              <w:t>a constant</w:t>
            </w:r>
          </w:p>
        </w:tc>
      </w:tr>
    </w:tbl>
    <w:p w14:paraId="7B803472" w14:textId="77777777" w:rsidR="008E6A8B" w:rsidRPr="008E6A8B" w:rsidRDefault="008E6A8B" w:rsidP="008E6A8B"/>
    <w:p w14:paraId="0068FF77" w14:textId="77777777" w:rsidR="00283F45" w:rsidRDefault="00283F45" w:rsidP="00283F45">
      <w:pPr>
        <w:pStyle w:val="Heading1"/>
      </w:pPr>
      <w:r>
        <w:t>Methods</w:t>
      </w:r>
    </w:p>
    <w:p w14:paraId="571D2A0F" w14:textId="77777777" w:rsidR="00D333F4" w:rsidRDefault="00D333F4" w:rsidP="00D333F4">
      <w:r>
        <w:t>The beat frequency (f) of the flagellum is directly related to the production rate of energy from ATP per volume of mitochondria (E) and the mitochondrial volume (M). It is inversely related to the viscosity of the surrounding medium (v) and the length of the flagellum. This relationship was expressed by Caruzzo and Baltz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47C5C" w14:paraId="0FAC80D9" w14:textId="77777777" w:rsidTr="00347C5C">
        <w:tc>
          <w:tcPr>
            <w:tcW w:w="4675" w:type="dxa"/>
            <w:vAlign w:val="center"/>
          </w:tcPr>
          <w:p w14:paraId="14E35346" w14:textId="77777777" w:rsidR="00347C5C" w:rsidRDefault="00347C5C" w:rsidP="00347C5C">
            <w:pPr>
              <w:rPr>
                <w:lang w:eastAsia="zh-CN"/>
              </w:rPr>
            </w:pPr>
            <m:oMathPara>
              <m:oMath>
                <m:r>
                  <w:rPr>
                    <w:rFonts w:ascii="Cambria Math" w:hAnsi="Cambria Math"/>
                    <w:lang w:eastAsia="zh-CN"/>
                  </w:rPr>
                  <w:lastRenderedPageBreak/>
                  <m:t>f=</m:t>
                </m:r>
                <m:rad>
                  <m:radPr>
                    <m:degHide m:val="1"/>
                    <m:ctrlPr>
                      <w:rPr>
                        <w:rFonts w:ascii="Cambria Math" w:hAnsi="Cambria Math"/>
                        <w:i/>
                        <w:lang w:eastAsia="zh-CN"/>
                      </w:rPr>
                    </m:ctrlPr>
                  </m:radPr>
                  <m:deg/>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EM</m:t>
                            </m:r>
                          </m:num>
                          <m:den>
                            <m:r>
                              <w:rPr>
                                <w:rFonts w:ascii="Cambria Math" w:hAnsi="Cambria Math"/>
                                <w:lang w:eastAsia="zh-CN"/>
                              </w:rPr>
                              <m:t>pv</m:t>
                            </m:r>
                            <m:sSup>
                              <m:sSupPr>
                                <m:ctrlPr>
                                  <w:rPr>
                                    <w:rFonts w:ascii="Cambria Math" w:hAnsi="Cambria Math"/>
                                    <w:i/>
                                    <w:lang w:eastAsia="zh-CN"/>
                                  </w:rPr>
                                </m:ctrlPr>
                              </m:sSupPr>
                              <m:e>
                                <m:r>
                                  <w:rPr>
                                    <w:rFonts w:ascii="Cambria Math" w:hAnsi="Cambria Math"/>
                                    <w:lang w:eastAsia="zh-CN"/>
                                  </w:rPr>
                                  <m:t>L</m:t>
                                </m:r>
                              </m:e>
                              <m:sup>
                                <m:r>
                                  <w:rPr>
                                    <w:rFonts w:ascii="Cambria Math" w:hAnsi="Cambria Math"/>
                                    <w:lang w:eastAsia="zh-CN"/>
                                  </w:rPr>
                                  <m:t>3</m:t>
                                </m:r>
                              </m:sup>
                            </m:sSup>
                          </m:den>
                        </m:f>
                      </m:e>
                    </m:d>
                  </m:e>
                </m:rad>
              </m:oMath>
            </m:oMathPara>
          </w:p>
        </w:tc>
        <w:tc>
          <w:tcPr>
            <w:tcW w:w="4675" w:type="dxa"/>
            <w:vAlign w:val="center"/>
          </w:tcPr>
          <w:p w14:paraId="6FFE73C7" w14:textId="77777777" w:rsidR="00347C5C" w:rsidRDefault="00347C5C" w:rsidP="00347C5C">
            <w:pPr>
              <w:rPr>
                <w:lang w:eastAsia="zh-CN"/>
              </w:rPr>
            </w:pPr>
            <w:r>
              <w:rPr>
                <w:lang w:eastAsia="zh-CN"/>
              </w:rPr>
              <w:t xml:space="preserve">LaTeX Code: </w:t>
            </w:r>
            <w:proofErr w:type="gramStart"/>
            <w:r>
              <w:rPr>
                <w:lang w:eastAsia="zh-CN"/>
              </w:rPr>
              <w:t>\[</w:t>
            </w:r>
            <w:proofErr w:type="gramEnd"/>
            <w:r>
              <w:rPr>
                <w:lang w:eastAsia="zh-CN"/>
              </w:rPr>
              <w:t xml:space="preserve"> f = \sqrt{\Bigg ( \frac{EM}{pvL^3} \Bigg )} \]</w:t>
            </w:r>
          </w:p>
        </w:tc>
      </w:tr>
    </w:tbl>
    <w:p w14:paraId="67D7B981" w14:textId="77777777" w:rsidR="00D333F4" w:rsidRDefault="00D333F4" w:rsidP="00D333F4">
      <w:r>
        <w:t>We can plot f as a function of the energy output of the mitochondria (EM) to determine how an increase in energy output affects beat frequency.</w:t>
      </w:r>
    </w:p>
    <w:p w14:paraId="59F47E4D" w14:textId="77777777" w:rsidR="008E6A8B" w:rsidRPr="00D333F4" w:rsidRDefault="00D333F4" w:rsidP="00D333F4">
      <w:pPr>
        <w:jc w:val="center"/>
      </w:pPr>
      <w:r>
        <w:fldChar w:fldCharType="begin"/>
      </w:r>
      <w:r>
        <w:instrText xml:space="preserve"> INCLUDEPICTURE "http://www.tiem.utk.edu/~gross/bioed/webmodules/spermmotil.gif" \* MERGEFORMATINET </w:instrText>
      </w:r>
      <w:r>
        <w:fldChar w:fldCharType="separate"/>
      </w:r>
      <w:r>
        <w:rPr>
          <w:noProof/>
        </w:rPr>
        <w:drawing>
          <wp:inline distT="0" distB="0" distL="0" distR="0" wp14:anchorId="416D9892" wp14:editId="2482DD87">
            <wp:extent cx="3657600" cy="3657600"/>
            <wp:effectExtent l="0" t="0" r="0" b="0"/>
            <wp:docPr id="1" name="Picture 1" descr="http://www.tiem.utk.edu/~gross/bioed/webmodules/spermmot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spermmoti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r>
        <w:fldChar w:fldCharType="end"/>
      </w:r>
    </w:p>
    <w:p w14:paraId="139E3428" w14:textId="77777777" w:rsidR="00283F45" w:rsidRDefault="00283F45" w:rsidP="00283F45">
      <w:pPr>
        <w:pStyle w:val="Heading1"/>
      </w:pPr>
      <w:r w:rsidRPr="00283F45">
        <w:t>Interpretation</w:t>
      </w:r>
    </w:p>
    <w:p w14:paraId="37439063" w14:textId="77777777" w:rsidR="005845F4" w:rsidRDefault="005845F4" w:rsidP="00EE2BC8">
      <w:r>
        <w:t xml:space="preserve">Beat frequency increases as mitochondrial output increases. However, the slope of this function becomes shallower as EM increases. In response to increased power, the beat frequency of sperm flagella also increased. However, due to the nature of this function, the resulting increase in movement is not very efficient. For example, if we increase EM by </w:t>
      </w:r>
      <w:r w:rsidR="00EE2BC8">
        <w:t>70%,</w:t>
      </w:r>
      <w:r>
        <w:t xml:space="preserve"> we have a new value of 1.7 x EM. We can substitute this into the function f to determine the corresponding increase in beat 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0D1D" w14:paraId="7BFB3A6E" w14:textId="77777777" w:rsidTr="00873FB7">
        <w:tc>
          <w:tcPr>
            <w:tcW w:w="4675" w:type="dxa"/>
            <w:vAlign w:val="center"/>
          </w:tcPr>
          <w:p w14:paraId="36070619" w14:textId="77777777" w:rsidR="00B50D1D" w:rsidRDefault="00816009" w:rsidP="00873FB7">
            <w:pPr>
              <w:rPr>
                <w:lang w:eastAsia="zh-CN"/>
              </w:rPr>
            </w:pPr>
            <m:oMathPara>
              <m:oMath>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new</m:t>
                    </m:r>
                  </m:sub>
                </m:sSub>
                <m:r>
                  <w:rPr>
                    <w:rFonts w:ascii="Cambria Math" w:hAnsi="Cambria Math"/>
                    <w:lang w:eastAsia="zh-CN"/>
                  </w:rPr>
                  <m:t>=</m:t>
                </m:r>
                <m:rad>
                  <m:radPr>
                    <m:degHide m:val="1"/>
                    <m:ctrlPr>
                      <w:rPr>
                        <w:rFonts w:ascii="Cambria Math" w:hAnsi="Cambria Math"/>
                        <w:i/>
                        <w:lang w:eastAsia="zh-CN"/>
                      </w:rPr>
                    </m:ctrlPr>
                  </m:radPr>
                  <m:deg/>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EM</m:t>
                            </m:r>
                            <m:d>
                              <m:dPr>
                                <m:ctrlPr>
                                  <w:rPr>
                                    <w:rFonts w:ascii="Cambria Math" w:hAnsi="Cambria Math"/>
                                    <w:i/>
                                    <w:lang w:eastAsia="zh-CN"/>
                                  </w:rPr>
                                </m:ctrlPr>
                              </m:dPr>
                              <m:e>
                                <m:r>
                                  <w:rPr>
                                    <w:rFonts w:ascii="Cambria Math" w:hAnsi="Cambria Math"/>
                                    <w:lang w:eastAsia="zh-CN"/>
                                  </w:rPr>
                                  <m:t>1.7</m:t>
                                </m:r>
                              </m:e>
                            </m:d>
                          </m:num>
                          <m:den>
                            <m:r>
                              <w:rPr>
                                <w:rFonts w:ascii="Cambria Math" w:hAnsi="Cambria Math"/>
                                <w:lang w:eastAsia="zh-CN"/>
                              </w:rPr>
                              <m:t>pv</m:t>
                            </m:r>
                            <m:sSup>
                              <m:sSupPr>
                                <m:ctrlPr>
                                  <w:rPr>
                                    <w:rFonts w:ascii="Cambria Math" w:hAnsi="Cambria Math"/>
                                    <w:i/>
                                    <w:lang w:eastAsia="zh-CN"/>
                                  </w:rPr>
                                </m:ctrlPr>
                              </m:sSupPr>
                              <m:e>
                                <m:r>
                                  <w:rPr>
                                    <w:rFonts w:ascii="Cambria Math" w:hAnsi="Cambria Math"/>
                                    <w:lang w:eastAsia="zh-CN"/>
                                  </w:rPr>
                                  <m:t>L</m:t>
                                </m:r>
                              </m:e>
                              <m:sup>
                                <m:r>
                                  <w:rPr>
                                    <w:rFonts w:ascii="Cambria Math" w:hAnsi="Cambria Math"/>
                                    <w:lang w:eastAsia="zh-CN"/>
                                  </w:rPr>
                                  <m:t>3</m:t>
                                </m:r>
                              </m:sup>
                            </m:sSup>
                          </m:den>
                        </m:f>
                      </m:e>
                    </m:d>
                  </m:e>
                </m:rad>
                <m:r>
                  <w:rPr>
                    <w:rFonts w:ascii="Cambria Math" w:hAnsi="Cambria Math"/>
                    <w:lang w:eastAsia="zh-CN"/>
                  </w:rPr>
                  <m:t>=</m:t>
                </m:r>
                <m:rad>
                  <m:radPr>
                    <m:degHide m:val="1"/>
                    <m:ctrlPr>
                      <w:rPr>
                        <w:rFonts w:ascii="Cambria Math" w:hAnsi="Cambria Math"/>
                        <w:i/>
                        <w:lang w:eastAsia="zh-CN"/>
                      </w:rPr>
                    </m:ctrlPr>
                  </m:radPr>
                  <m:deg/>
                  <m:e>
                    <m:r>
                      <w:rPr>
                        <w:rFonts w:ascii="Cambria Math" w:hAnsi="Cambria Math"/>
                        <w:lang w:eastAsia="zh-CN"/>
                      </w:rPr>
                      <m:t>1.7</m:t>
                    </m:r>
                  </m:e>
                </m:ra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old</m:t>
                    </m:r>
                  </m:sub>
                </m:sSub>
                <m:r>
                  <w:rPr>
                    <w:rFonts w:ascii="Cambria Math" w:hAnsi="Cambria Math"/>
                    <w:lang w:eastAsia="zh-CN"/>
                  </w:rPr>
                  <m:t>=1.3×</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old</m:t>
                    </m:r>
                  </m:sub>
                </m:sSub>
              </m:oMath>
            </m:oMathPara>
          </w:p>
        </w:tc>
        <w:tc>
          <w:tcPr>
            <w:tcW w:w="4675" w:type="dxa"/>
            <w:vAlign w:val="center"/>
          </w:tcPr>
          <w:p w14:paraId="4681C8A5" w14:textId="77777777" w:rsidR="00B50D1D" w:rsidRDefault="00B50D1D" w:rsidP="00873FB7">
            <w:pPr>
              <w:rPr>
                <w:lang w:eastAsia="zh-CN"/>
              </w:rPr>
            </w:pPr>
            <w:r>
              <w:rPr>
                <w:lang w:eastAsia="zh-CN"/>
              </w:rPr>
              <w:t xml:space="preserve">LaTeX Code: </w:t>
            </w:r>
            <w:proofErr w:type="gramStart"/>
            <w:r>
              <w:rPr>
                <w:lang w:eastAsia="zh-CN"/>
              </w:rPr>
              <w:t>\[</w:t>
            </w:r>
            <w:proofErr w:type="gramEnd"/>
            <w:r>
              <w:rPr>
                <w:lang w:eastAsia="zh-CN"/>
              </w:rPr>
              <w:t xml:space="preserve"> f</w:t>
            </w:r>
            <w:r w:rsidR="001014FA">
              <w:rPr>
                <w:lang w:eastAsia="zh-CN"/>
              </w:rPr>
              <w:t>_{new}</w:t>
            </w:r>
            <w:r>
              <w:rPr>
                <w:lang w:eastAsia="zh-CN"/>
              </w:rPr>
              <w:t xml:space="preserve"> = \sqrt{\Bigg ( \frac{EM</w:t>
            </w:r>
            <w:r w:rsidR="001014FA">
              <w:rPr>
                <w:lang w:eastAsia="zh-CN"/>
              </w:rPr>
              <w:t>(1.7)</w:t>
            </w:r>
            <w:r>
              <w:rPr>
                <w:lang w:eastAsia="zh-CN"/>
              </w:rPr>
              <w:t>}{pvL^3} \Bigg )}</w:t>
            </w:r>
            <w:r w:rsidR="005A0006">
              <w:rPr>
                <w:lang w:eastAsia="zh-CN"/>
              </w:rPr>
              <w:t xml:space="preserve"> = \sqrt{1.7} \times f_{old} = 1.3 \times f_{old}</w:t>
            </w:r>
            <w:r>
              <w:rPr>
                <w:lang w:eastAsia="zh-CN"/>
              </w:rPr>
              <w:t xml:space="preserve"> \]</w:t>
            </w:r>
          </w:p>
        </w:tc>
      </w:tr>
    </w:tbl>
    <w:p w14:paraId="6FFD7BA7" w14:textId="77777777" w:rsidR="008E6A8B" w:rsidRPr="005845F4" w:rsidRDefault="005845F4" w:rsidP="00EE2BC8">
      <w:r>
        <w:t xml:space="preserve">Therefore a 70% increase in power leads to only a 30% increase in beat frequency. Experimentally, in the presence of a metabolite, mitochondrial output increased </w:t>
      </w:r>
      <w:r>
        <w:lastRenderedPageBreak/>
        <w:t>approximately 72 % from 2.6x10</w:t>
      </w:r>
      <w:r>
        <w:rPr>
          <w:vertAlign w:val="superscript"/>
        </w:rPr>
        <w:t>-6</w:t>
      </w:r>
      <w:r w:rsidR="00EE2BC8">
        <w:t xml:space="preserve"> </w:t>
      </w:r>
      <w:r>
        <w:t>ergs/sec to 4.5x10</w:t>
      </w:r>
      <w:r>
        <w:rPr>
          <w:vertAlign w:val="superscript"/>
        </w:rPr>
        <w:t>-6</w:t>
      </w:r>
      <w:r w:rsidR="009A6CE8">
        <w:t xml:space="preserve"> e</w:t>
      </w:r>
      <w:r>
        <w:t>rgs/sec. The corresponding increase in beat frequency, however, was only about 19%.</w:t>
      </w:r>
    </w:p>
    <w:p w14:paraId="6A7DB2DF" w14:textId="77777777" w:rsidR="00283F45" w:rsidRDefault="00283F45" w:rsidP="00283F45">
      <w:pPr>
        <w:pStyle w:val="Heading1"/>
      </w:pPr>
      <w:r>
        <w:t>Conclusion</w:t>
      </w:r>
    </w:p>
    <w:p w14:paraId="734402EE" w14:textId="77777777" w:rsidR="008E6A8B" w:rsidRPr="008E6A8B" w:rsidRDefault="00A30B70" w:rsidP="008E6A8B">
      <w:r w:rsidRPr="00A30B70">
        <w:t>Mammalian sperm movement is a function of mitochondrial output and sperm length. Experimental data and the equation of Cardullo and Baltz suggests mammalian sperm are inefficient at converting ATP to flagellar movement.</w:t>
      </w:r>
    </w:p>
    <w:p w14:paraId="13315036" w14:textId="77777777" w:rsidR="00283F45" w:rsidRDefault="00283F45" w:rsidP="00283F45">
      <w:pPr>
        <w:pStyle w:val="Heading1"/>
      </w:pPr>
      <w:r>
        <w:t>Source</w:t>
      </w:r>
    </w:p>
    <w:p w14:paraId="65DEE2E2" w14:textId="77777777" w:rsidR="008E6A8B" w:rsidRDefault="002A2D8B" w:rsidP="002A2D8B">
      <w:r w:rsidRPr="002A2D8B">
        <w:t xml:space="preserve">Cardullo, R. A. and J. M. Baltz. 1991. Metabolic regulation in mammalian sperm: Mitochondrial volume determines sperm length and flagellar beat frequency. </w:t>
      </w:r>
      <w:r w:rsidRPr="00877D92">
        <w:rPr>
          <w:i/>
        </w:rPr>
        <w:t>Cell Motility and the Cytoskeleton 19</w:t>
      </w:r>
      <w:r w:rsidRPr="002A2D8B">
        <w:t>:180-188</w:t>
      </w:r>
    </w:p>
    <w:p w14:paraId="32B2EBF1" w14:textId="77777777" w:rsidR="00A207B5" w:rsidRPr="00283F45" w:rsidRDefault="00A207B5" w:rsidP="00283F45">
      <w:pPr>
        <w:pStyle w:val="Heading1"/>
      </w:pPr>
      <w:r w:rsidRPr="00283F45">
        <w:t>About this Resource</w:t>
      </w:r>
    </w:p>
    <w:p w14:paraId="15124F59"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7A7AD827"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55C353AB"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F27D2" w14:textId="77777777" w:rsidR="00816009" w:rsidRDefault="00816009" w:rsidP="00A207B5">
      <w:r>
        <w:separator/>
      </w:r>
    </w:p>
  </w:endnote>
  <w:endnote w:type="continuationSeparator" w:id="0">
    <w:p w14:paraId="633B380A" w14:textId="77777777" w:rsidR="00816009" w:rsidRDefault="00816009" w:rsidP="00A207B5">
      <w:r>
        <w:continuationSeparator/>
      </w:r>
    </w:p>
  </w:endnote>
  <w:endnote w:id="1">
    <w:p w14:paraId="0B526573" w14:textId="77777777" w:rsidR="00A207B5" w:rsidRDefault="00A207B5" w:rsidP="00A207B5">
      <w:pPr>
        <w:pStyle w:val="EndnoteText"/>
      </w:pPr>
      <w:r>
        <w:rPr>
          <w:rStyle w:val="EndnoteReference"/>
        </w:rPr>
        <w:endnoteRef/>
      </w:r>
      <w:r>
        <w:t xml:space="preserve"> http://www.tiem.utk.edu/~gross/bioed/</w:t>
      </w:r>
    </w:p>
  </w:endnote>
  <w:endnote w:id="2">
    <w:p w14:paraId="730AA951" w14:textId="77777777" w:rsidR="00A207B5" w:rsidRDefault="00A207B5" w:rsidP="00A207B5">
      <w:pPr>
        <w:pStyle w:val="EndnoteText"/>
      </w:pPr>
      <w:r>
        <w:rPr>
          <w:rStyle w:val="EndnoteReference"/>
        </w:rPr>
        <w:endnoteRef/>
      </w:r>
      <w:r>
        <w:t xml:space="preserve"> https://qubeshub.org/community/groups/quantbioatcc/</w:t>
      </w:r>
    </w:p>
  </w:endnote>
  <w:endnote w:id="3">
    <w:p w14:paraId="7B0E7FA2"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764369C0" w14:textId="75B062D3" w:rsidR="00A207B5" w:rsidRDefault="00A207B5" w:rsidP="00A207B5">
      <w:pPr>
        <w:pStyle w:val="EndnoteText"/>
      </w:pPr>
      <w:r>
        <w:rPr>
          <w:rStyle w:val="EndnoteReference"/>
        </w:rPr>
        <w:endnoteRef/>
      </w:r>
      <w:r>
        <w:t xml:space="preserve"> </w:t>
      </w:r>
      <w:r w:rsidRPr="00B50C5B">
        <w:t>https://qubeshub.org/qubesresources/publications/</w:t>
      </w:r>
      <w:r w:rsidR="00AA40D9">
        <w:t>1082</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0494" w14:textId="77777777" w:rsidR="00816009" w:rsidRDefault="00816009" w:rsidP="00A207B5">
      <w:r>
        <w:separator/>
      </w:r>
    </w:p>
  </w:footnote>
  <w:footnote w:type="continuationSeparator" w:id="0">
    <w:p w14:paraId="29210ED8" w14:textId="77777777" w:rsidR="00816009" w:rsidRDefault="00816009"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D4"/>
    <w:rsid w:val="000D79DD"/>
    <w:rsid w:val="001014FA"/>
    <w:rsid w:val="001E2492"/>
    <w:rsid w:val="00283F45"/>
    <w:rsid w:val="00291ED4"/>
    <w:rsid w:val="002A2D8B"/>
    <w:rsid w:val="00347C5C"/>
    <w:rsid w:val="003607A8"/>
    <w:rsid w:val="005845F4"/>
    <w:rsid w:val="005A0006"/>
    <w:rsid w:val="00621462"/>
    <w:rsid w:val="007F0B29"/>
    <w:rsid w:val="00816009"/>
    <w:rsid w:val="00877D92"/>
    <w:rsid w:val="00893506"/>
    <w:rsid w:val="00897E96"/>
    <w:rsid w:val="008E6A8B"/>
    <w:rsid w:val="009A6CE8"/>
    <w:rsid w:val="009F2F12"/>
    <w:rsid w:val="00A207B5"/>
    <w:rsid w:val="00A30B70"/>
    <w:rsid w:val="00AA40D9"/>
    <w:rsid w:val="00AD1D7C"/>
    <w:rsid w:val="00B50D1D"/>
    <w:rsid w:val="00BE3B85"/>
    <w:rsid w:val="00C159E7"/>
    <w:rsid w:val="00C81E51"/>
    <w:rsid w:val="00C97651"/>
    <w:rsid w:val="00CD3585"/>
    <w:rsid w:val="00D333F4"/>
    <w:rsid w:val="00D37836"/>
    <w:rsid w:val="00DB5A46"/>
    <w:rsid w:val="00EE2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FB46D3"/>
  <w15:chartTrackingRefBased/>
  <w15:docId w15:val="{6B71D109-76E7-4C4C-95BA-95CD38F4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D333F4"/>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34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7C5C"/>
    <w:rPr>
      <w:color w:val="808080"/>
    </w:rPr>
  </w:style>
  <w:style w:type="paragraph" w:styleId="BalloonText">
    <w:name w:val="Balloon Text"/>
    <w:basedOn w:val="Normal"/>
    <w:link w:val="BalloonTextChar"/>
    <w:uiPriority w:val="99"/>
    <w:semiHidden/>
    <w:unhideWhenUsed/>
    <w:rsid w:val="00AA40D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A40D9"/>
    <w:rPr>
      <w:rFonts w:ascii="Times New Roman" w:eastAsia="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8693">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91803640">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20272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7</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16</cp:revision>
  <dcterms:created xsi:type="dcterms:W3CDTF">2018-12-31T01:32:00Z</dcterms:created>
  <dcterms:modified xsi:type="dcterms:W3CDTF">2019-02-15T07:10:00Z</dcterms:modified>
</cp:coreProperties>
</file>