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94106" w14:textId="77777777" w:rsidR="00AE6A9D" w:rsidRPr="00AE6A9D" w:rsidRDefault="00AE6A9D" w:rsidP="00AE6A9D">
      <w:pPr>
        <w:pStyle w:val="Title"/>
      </w:pPr>
      <w:r>
        <w:t>Synapse Transmission</w:t>
      </w:r>
    </w:p>
    <w:p w14:paraId="32C076A5" w14:textId="77777777" w:rsidR="00A207B5" w:rsidRDefault="00A207B5" w:rsidP="00283F45">
      <w:pPr>
        <w:pStyle w:val="Heading1"/>
      </w:pPr>
      <w:r w:rsidRPr="00283F45">
        <w:t>Introduction</w:t>
      </w:r>
    </w:p>
    <w:p w14:paraId="1C946E43" w14:textId="77777777" w:rsidR="00FC754F" w:rsidRDefault="00FC754F" w:rsidP="00FC754F">
      <w:pPr>
        <w:rPr>
          <w:lang w:eastAsia="zh-CN"/>
        </w:rPr>
      </w:pPr>
      <w:r>
        <w:t>The nervous system depends on neurons working together to transmit signals. Neurons are special cells that have plasma membranes capable of generating and conducting electric impulses. Each neuron is composed of dendrites that collect information from other neurons, a cell body where nerve impulses are initiated, an axon along which impulses are conducted, and axon terminals that synapse with a target cell such as another neuron or muscle tissue.</w:t>
      </w:r>
    </w:p>
    <w:p w14:paraId="0556BD69" w14:textId="77777777" w:rsidR="00FC754F" w:rsidRDefault="00FC754F" w:rsidP="00FC754F">
      <w:r>
        <w:t>The electric potential of neurons is responsible for signal transmission. The inside of a neuron generally has an excess of negative charges. When a neuron is unstimulated, the difference in electric charge across the plasma membrane is the resting potential. A neuron is sensitive to physical or chemical changes that cause changes in the resting potential. A sudden and rapid reversal in charge across the membrane is called an action potential. When a neuron is stimulated, the action potential moves along the axon to the axon terminals to the target cell. The post-synaptic membrane of the target cell integrates the information it receives. In order for the target cell to be stimulated, the stimulus must be greater than the target cell's action potential. Neurotransmitters that affect the membrane bring about an excitatory postsynaptic potential (EPSP). When several EPSP's arrive at the cell body simultaneously, the potential is summed over the number of synaptic knobs, and an action potential may be reached.</w:t>
      </w:r>
    </w:p>
    <w:p w14:paraId="6BAD1A0B" w14:textId="77777777" w:rsidR="008E6A8B" w:rsidRPr="00FC754F" w:rsidRDefault="00FC754F" w:rsidP="00FC754F">
      <w:pPr>
        <w:jc w:val="center"/>
        <w:rPr>
          <w:rFonts w:ascii="Times" w:hAnsi="Times"/>
        </w:rPr>
      </w:pPr>
      <w:r>
        <w:rPr>
          <w:rFonts w:ascii="Times" w:hAnsi="Times"/>
        </w:rPr>
        <w:fldChar w:fldCharType="begin"/>
      </w:r>
      <w:r>
        <w:rPr>
          <w:rFonts w:ascii="Times" w:hAnsi="Times"/>
        </w:rPr>
        <w:instrText xml:space="preserve"> INCLUDEPICTURE "http://www.tiem.utk.edu/~gross/bioed/webmodules/synapsegraph.gif" \* MERGEFORMATINET </w:instrText>
      </w:r>
      <w:r>
        <w:rPr>
          <w:rFonts w:ascii="Times" w:hAnsi="Times"/>
        </w:rPr>
        <w:fldChar w:fldCharType="separate"/>
      </w:r>
      <w:r>
        <w:rPr>
          <w:rFonts w:ascii="Times" w:hAnsi="Times"/>
          <w:noProof/>
        </w:rPr>
        <w:drawing>
          <wp:inline distT="0" distB="0" distL="0" distR="0" wp14:anchorId="69C5E64F" wp14:editId="68216679">
            <wp:extent cx="3657600" cy="2807071"/>
            <wp:effectExtent l="0" t="0" r="0" b="0"/>
            <wp:docPr id="1" name="Picture 1" descr="http://www.tiem.utk.edu/~gross/bioed/webmodules/synapse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em.utk.edu/~gross/bioed/webmodules/synapsegrap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807071"/>
                    </a:xfrm>
                    <a:prstGeom prst="rect">
                      <a:avLst/>
                    </a:prstGeom>
                    <a:noFill/>
                    <a:ln>
                      <a:noFill/>
                    </a:ln>
                  </pic:spPr>
                </pic:pic>
              </a:graphicData>
            </a:graphic>
          </wp:inline>
        </w:drawing>
      </w:r>
      <w:r>
        <w:rPr>
          <w:rFonts w:ascii="Times" w:hAnsi="Times"/>
        </w:rPr>
        <w:fldChar w:fldCharType="end"/>
      </w:r>
    </w:p>
    <w:p w14:paraId="6ACCFAF9" w14:textId="77777777" w:rsidR="00283F45" w:rsidRDefault="00283F45" w:rsidP="00283F45">
      <w:pPr>
        <w:pStyle w:val="Heading1"/>
      </w:pPr>
      <w:r w:rsidRPr="00283F45">
        <w:t>Importance</w:t>
      </w:r>
    </w:p>
    <w:p w14:paraId="54C520B6" w14:textId="77777777" w:rsidR="008E6A8B" w:rsidRPr="008E6A8B" w:rsidRDefault="00B861B6" w:rsidP="008E6A8B">
      <w:r w:rsidRPr="00B861B6">
        <w:lastRenderedPageBreak/>
        <w:t>Understanding resting and action potential can help us understand when a target cell will be stimulated. We can use simple mathematics to determine how strong a stimulus must be in order for a chain of neurons to cause a muscle to contract.</w:t>
      </w:r>
    </w:p>
    <w:p w14:paraId="2984C281" w14:textId="77777777" w:rsidR="00283F45" w:rsidRDefault="00283F45" w:rsidP="00283F45">
      <w:pPr>
        <w:pStyle w:val="Heading1"/>
      </w:pPr>
      <w:r>
        <w:t>Questions</w:t>
      </w:r>
    </w:p>
    <w:p w14:paraId="6526A747" w14:textId="77777777" w:rsidR="008E6A8B" w:rsidRPr="008E6A8B" w:rsidRDefault="00693047" w:rsidP="008E6A8B">
      <w:r w:rsidRPr="00693047">
        <w:t>How do membrane potential, action potential thresholds, and properties of neurons affect how nerve impulses stimulate muscles?</w:t>
      </w:r>
    </w:p>
    <w:p w14:paraId="16EC3586" w14:textId="77777777" w:rsidR="00283F45" w:rsidRDefault="00283F45" w:rsidP="00283F45">
      <w:pPr>
        <w:pStyle w:val="Heading1"/>
      </w:pPr>
      <w:r>
        <w:t>Variables</w:t>
      </w:r>
    </w:p>
    <w:tbl>
      <w:tblPr>
        <w:tblW w:w="5130"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740"/>
        <w:gridCol w:w="4390"/>
      </w:tblGrid>
      <w:tr w:rsidR="00693047" w:rsidRPr="00693047" w14:paraId="155479B8" w14:textId="77777777" w:rsidTr="00693047">
        <w:trPr>
          <w:tblCellSpacing w:w="10" w:type="dxa"/>
        </w:trPr>
        <w:tc>
          <w:tcPr>
            <w:tcW w:w="700" w:type="pct"/>
            <w:hideMark/>
          </w:tcPr>
          <w:p w14:paraId="7ECE0A47" w14:textId="77777777" w:rsidR="00693047" w:rsidRPr="00693047" w:rsidRDefault="00693047" w:rsidP="00693047">
            <w:pPr>
              <w:pStyle w:val="TableContent"/>
              <w:rPr>
                <w:lang w:eastAsia="zh-CN"/>
              </w:rPr>
            </w:pPr>
            <w:r w:rsidRPr="00693047">
              <w:rPr>
                <w:lang w:eastAsia="zh-CN"/>
              </w:rPr>
              <w:t>S</w:t>
            </w:r>
            <w:r w:rsidRPr="00693047">
              <w:rPr>
                <w:vertAlign w:val="subscript"/>
                <w:lang w:eastAsia="zh-CN"/>
              </w:rPr>
              <w:t>i</w:t>
            </w:r>
          </w:p>
        </w:tc>
        <w:tc>
          <w:tcPr>
            <w:tcW w:w="4300" w:type="pct"/>
            <w:hideMark/>
          </w:tcPr>
          <w:p w14:paraId="416D3343" w14:textId="77777777" w:rsidR="00693047" w:rsidRPr="00693047" w:rsidRDefault="00693047" w:rsidP="00693047">
            <w:pPr>
              <w:pStyle w:val="TableContent"/>
              <w:rPr>
                <w:lang w:eastAsia="zh-CN"/>
              </w:rPr>
            </w:pPr>
            <w:r w:rsidRPr="00693047">
              <w:rPr>
                <w:lang w:eastAsia="zh-CN"/>
              </w:rPr>
              <w:t>stimulus power of neuron I (millivolts)</w:t>
            </w:r>
          </w:p>
        </w:tc>
      </w:tr>
      <w:tr w:rsidR="00693047" w:rsidRPr="00693047" w14:paraId="334E0AD6" w14:textId="77777777" w:rsidTr="00693047">
        <w:trPr>
          <w:tblCellSpacing w:w="10" w:type="dxa"/>
        </w:trPr>
        <w:tc>
          <w:tcPr>
            <w:tcW w:w="700" w:type="pct"/>
            <w:hideMark/>
          </w:tcPr>
          <w:p w14:paraId="64CE3C4B" w14:textId="77777777" w:rsidR="00693047" w:rsidRPr="00693047" w:rsidRDefault="00693047" w:rsidP="00693047">
            <w:pPr>
              <w:pStyle w:val="TableContent"/>
              <w:rPr>
                <w:lang w:eastAsia="zh-CN"/>
              </w:rPr>
            </w:pPr>
            <w:r w:rsidRPr="00693047">
              <w:rPr>
                <w:lang w:eastAsia="zh-CN"/>
              </w:rPr>
              <w:t>S</w:t>
            </w:r>
            <w:r w:rsidRPr="00693047">
              <w:rPr>
                <w:vertAlign w:val="subscript"/>
                <w:lang w:eastAsia="zh-CN"/>
              </w:rPr>
              <w:t>ki</w:t>
            </w:r>
          </w:p>
        </w:tc>
        <w:tc>
          <w:tcPr>
            <w:tcW w:w="4300" w:type="pct"/>
            <w:hideMark/>
          </w:tcPr>
          <w:p w14:paraId="56EBE8C7" w14:textId="77777777" w:rsidR="00693047" w:rsidRPr="00693047" w:rsidRDefault="00693047" w:rsidP="00693047">
            <w:pPr>
              <w:pStyle w:val="TableContent"/>
              <w:rPr>
                <w:lang w:eastAsia="zh-CN"/>
              </w:rPr>
            </w:pPr>
            <w:r w:rsidRPr="00693047">
              <w:rPr>
                <w:lang w:eastAsia="zh-CN"/>
              </w:rPr>
              <w:t>stimulus per knob (mv/knob) for neuron i</w:t>
            </w:r>
          </w:p>
        </w:tc>
      </w:tr>
      <w:tr w:rsidR="00693047" w:rsidRPr="00693047" w14:paraId="74C67DB3" w14:textId="77777777" w:rsidTr="00693047">
        <w:trPr>
          <w:tblCellSpacing w:w="10" w:type="dxa"/>
        </w:trPr>
        <w:tc>
          <w:tcPr>
            <w:tcW w:w="700" w:type="pct"/>
            <w:hideMark/>
          </w:tcPr>
          <w:p w14:paraId="540286D6" w14:textId="77777777" w:rsidR="00693047" w:rsidRPr="00693047" w:rsidRDefault="00693047" w:rsidP="00693047">
            <w:pPr>
              <w:pStyle w:val="TableContent"/>
              <w:rPr>
                <w:lang w:eastAsia="zh-CN"/>
              </w:rPr>
            </w:pPr>
            <w:r w:rsidRPr="00693047">
              <w:rPr>
                <w:lang w:eastAsia="zh-CN"/>
              </w:rPr>
              <w:t>K</w:t>
            </w:r>
            <w:r w:rsidRPr="00693047">
              <w:rPr>
                <w:vertAlign w:val="subscript"/>
                <w:lang w:eastAsia="zh-CN"/>
              </w:rPr>
              <w:t>i</w:t>
            </w:r>
          </w:p>
        </w:tc>
        <w:tc>
          <w:tcPr>
            <w:tcW w:w="4300" w:type="pct"/>
            <w:hideMark/>
          </w:tcPr>
          <w:p w14:paraId="7FFBAA70" w14:textId="77777777" w:rsidR="00693047" w:rsidRPr="00693047" w:rsidRDefault="00693047" w:rsidP="00693047">
            <w:pPr>
              <w:pStyle w:val="TableContent"/>
              <w:rPr>
                <w:lang w:eastAsia="zh-CN"/>
              </w:rPr>
            </w:pPr>
            <w:r w:rsidRPr="00693047">
              <w:rPr>
                <w:lang w:eastAsia="zh-CN"/>
              </w:rPr>
              <w:t>number of synaptic knobs on neuron i</w:t>
            </w:r>
          </w:p>
        </w:tc>
      </w:tr>
      <w:tr w:rsidR="00693047" w:rsidRPr="00693047" w14:paraId="0E4E3835" w14:textId="77777777" w:rsidTr="00693047">
        <w:trPr>
          <w:tblCellSpacing w:w="10" w:type="dxa"/>
        </w:trPr>
        <w:tc>
          <w:tcPr>
            <w:tcW w:w="700" w:type="pct"/>
            <w:hideMark/>
          </w:tcPr>
          <w:p w14:paraId="7DD13555" w14:textId="77777777" w:rsidR="00693047" w:rsidRPr="00693047" w:rsidRDefault="00693047" w:rsidP="00693047">
            <w:pPr>
              <w:pStyle w:val="TableContent"/>
              <w:rPr>
                <w:lang w:eastAsia="zh-CN"/>
              </w:rPr>
            </w:pPr>
            <w:r w:rsidRPr="00693047">
              <w:rPr>
                <w:lang w:eastAsia="zh-CN"/>
              </w:rPr>
              <w:t>R</w:t>
            </w:r>
            <w:r w:rsidRPr="00693047">
              <w:rPr>
                <w:vertAlign w:val="subscript"/>
                <w:lang w:eastAsia="zh-CN"/>
              </w:rPr>
              <w:t>i</w:t>
            </w:r>
          </w:p>
        </w:tc>
        <w:tc>
          <w:tcPr>
            <w:tcW w:w="4300" w:type="pct"/>
            <w:hideMark/>
          </w:tcPr>
          <w:p w14:paraId="5DF80114" w14:textId="77777777" w:rsidR="00693047" w:rsidRPr="00693047" w:rsidRDefault="00693047" w:rsidP="00693047">
            <w:pPr>
              <w:pStyle w:val="TableContent"/>
              <w:rPr>
                <w:lang w:eastAsia="zh-CN"/>
              </w:rPr>
            </w:pPr>
            <w:r w:rsidRPr="00693047">
              <w:rPr>
                <w:lang w:eastAsia="zh-CN"/>
              </w:rPr>
              <w:t>resting potential of neuron i (mv)</w:t>
            </w:r>
          </w:p>
        </w:tc>
      </w:tr>
      <w:tr w:rsidR="00693047" w:rsidRPr="00693047" w14:paraId="709327CD" w14:textId="77777777" w:rsidTr="00693047">
        <w:trPr>
          <w:tblCellSpacing w:w="10" w:type="dxa"/>
        </w:trPr>
        <w:tc>
          <w:tcPr>
            <w:tcW w:w="700" w:type="pct"/>
            <w:hideMark/>
          </w:tcPr>
          <w:p w14:paraId="69CEF7DB" w14:textId="77777777" w:rsidR="00693047" w:rsidRPr="00693047" w:rsidRDefault="00693047" w:rsidP="00693047">
            <w:pPr>
              <w:pStyle w:val="TableContent"/>
              <w:rPr>
                <w:lang w:eastAsia="zh-CN"/>
              </w:rPr>
            </w:pPr>
            <w:r w:rsidRPr="00693047">
              <w:rPr>
                <w:lang w:eastAsia="zh-CN"/>
              </w:rPr>
              <w:t>A</w:t>
            </w:r>
            <w:r w:rsidRPr="00693047">
              <w:rPr>
                <w:vertAlign w:val="subscript"/>
                <w:lang w:eastAsia="zh-CN"/>
              </w:rPr>
              <w:t>i</w:t>
            </w:r>
          </w:p>
        </w:tc>
        <w:tc>
          <w:tcPr>
            <w:tcW w:w="4300" w:type="pct"/>
            <w:hideMark/>
          </w:tcPr>
          <w:p w14:paraId="44078C03" w14:textId="77777777" w:rsidR="00693047" w:rsidRPr="00693047" w:rsidRDefault="00693047" w:rsidP="00693047">
            <w:pPr>
              <w:pStyle w:val="TableContent"/>
              <w:rPr>
                <w:lang w:eastAsia="zh-CN"/>
              </w:rPr>
            </w:pPr>
            <w:r w:rsidRPr="00693047">
              <w:rPr>
                <w:lang w:eastAsia="zh-CN"/>
              </w:rPr>
              <w:t>action potential of neuron I (mv)</w:t>
            </w:r>
          </w:p>
        </w:tc>
      </w:tr>
    </w:tbl>
    <w:p w14:paraId="586AE612" w14:textId="77777777" w:rsidR="008E6A8B" w:rsidRPr="008E6A8B" w:rsidRDefault="008E6A8B" w:rsidP="008E6A8B"/>
    <w:p w14:paraId="18093175" w14:textId="77777777" w:rsidR="00283F45" w:rsidRDefault="00283F45" w:rsidP="00283F45">
      <w:pPr>
        <w:pStyle w:val="Heading1"/>
      </w:pPr>
      <w:r>
        <w:t>Methods</w:t>
      </w:r>
    </w:p>
    <w:p w14:paraId="33BB2514" w14:textId="77777777" w:rsidR="008E6A8B" w:rsidRDefault="00DA032A" w:rsidP="004D0F19">
      <w:r w:rsidRPr="00DA032A">
        <w:t>We can use a simple algorithm to understand neuron transmission. Assume neuron 1 synapses with neuron 2. Neuron 2 synapses with a muscle cell. Assume neuron 1 is stimulated. We must determine if the impulse will pass over the synapse and stimulate neuron 2 and contract the muscle.</w:t>
      </w:r>
    </w:p>
    <w:p w14:paraId="2D8A465C" w14:textId="77777777" w:rsidR="009E2AFB" w:rsidRDefault="009E2AFB" w:rsidP="004D0F19">
      <w:pPr>
        <w:rPr>
          <w:b/>
        </w:rPr>
      </w:pPr>
      <w:r w:rsidRPr="009E2AFB">
        <w:rPr>
          <w:b/>
        </w:rPr>
        <w:t>Model:</w:t>
      </w:r>
    </w:p>
    <w:p w14:paraId="2CBA05F3" w14:textId="77777777" w:rsidR="009E2AFB" w:rsidRDefault="009E2AFB" w:rsidP="009E2AFB">
      <w:pPr>
        <w:jc w:val="center"/>
        <w:rPr>
          <w:b/>
        </w:rPr>
      </w:pPr>
      <w:r w:rsidRPr="00DA032A">
        <w:rPr>
          <w:rFonts w:ascii="Times" w:hAnsi="Times"/>
          <w:lang w:eastAsia="zh-CN"/>
        </w:rPr>
        <w:fldChar w:fldCharType="begin"/>
      </w:r>
      <w:r w:rsidRPr="00DA032A">
        <w:rPr>
          <w:rFonts w:ascii="Times" w:hAnsi="Times"/>
          <w:lang w:eastAsia="zh-CN"/>
        </w:rPr>
        <w:instrText xml:space="preserve"> INCLUDEPICTURE "http://www.tiem.utk.edu/~gross/bioed/webmodules/neuron1.gif" \* MERGEFORMATINET </w:instrText>
      </w:r>
      <w:r w:rsidRPr="00DA032A">
        <w:rPr>
          <w:rFonts w:ascii="Times" w:hAnsi="Times"/>
          <w:lang w:eastAsia="zh-CN"/>
        </w:rPr>
        <w:fldChar w:fldCharType="separate"/>
      </w:r>
      <w:r w:rsidRPr="00DA032A">
        <w:rPr>
          <w:rFonts w:ascii="Times" w:hAnsi="Times"/>
          <w:noProof/>
          <w:lang w:eastAsia="zh-CN"/>
        </w:rPr>
        <w:drawing>
          <wp:inline distT="0" distB="0" distL="0" distR="0" wp14:anchorId="646520DF" wp14:editId="16AB00F4">
            <wp:extent cx="3657600" cy="2035272"/>
            <wp:effectExtent l="0" t="0" r="0" b="0"/>
            <wp:docPr id="2" name="Picture 2" descr="http://www.tiem.utk.edu/~gross/bioed/webmodules/neur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em.utk.edu/~gross/bioed/webmodules/neuron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035272"/>
                    </a:xfrm>
                    <a:prstGeom prst="rect">
                      <a:avLst/>
                    </a:prstGeom>
                    <a:noFill/>
                    <a:ln>
                      <a:noFill/>
                    </a:ln>
                  </pic:spPr>
                </pic:pic>
              </a:graphicData>
            </a:graphic>
          </wp:inline>
        </w:drawing>
      </w:r>
      <w:r w:rsidRPr="00DA032A">
        <w:rPr>
          <w:rFonts w:ascii="Times" w:hAnsi="Times"/>
          <w:lang w:eastAsia="zh-CN"/>
        </w:rPr>
        <w:fldChar w:fldCharType="end"/>
      </w:r>
    </w:p>
    <w:p w14:paraId="7782FC89" w14:textId="77777777" w:rsidR="00DA032A" w:rsidRPr="009E2AFB" w:rsidRDefault="00DA032A" w:rsidP="004D0F19">
      <w:pPr>
        <w:rPr>
          <w:b/>
        </w:rPr>
      </w:pPr>
      <w:r w:rsidRPr="00DA032A">
        <w:rPr>
          <w:rFonts w:ascii="Times" w:hAnsi="Times"/>
          <w:b/>
          <w:bCs/>
          <w:lang w:eastAsia="zh-CN"/>
        </w:rPr>
        <w:t>Data:</w:t>
      </w:r>
    </w:p>
    <w:tbl>
      <w:tblPr>
        <w:tblW w:w="6840"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1050"/>
        <w:gridCol w:w="2039"/>
        <w:gridCol w:w="1973"/>
        <w:gridCol w:w="1778"/>
      </w:tblGrid>
      <w:tr w:rsidR="00DA032A" w:rsidRPr="00DA032A" w14:paraId="6F78BAA1" w14:textId="77777777" w:rsidTr="00DA032A">
        <w:trPr>
          <w:tblCellSpacing w:w="10" w:type="dxa"/>
        </w:trPr>
        <w:tc>
          <w:tcPr>
            <w:tcW w:w="700" w:type="pct"/>
            <w:vAlign w:val="center"/>
            <w:hideMark/>
          </w:tcPr>
          <w:p w14:paraId="771F1BFC" w14:textId="77777777" w:rsidR="00DA032A" w:rsidRPr="00DA032A" w:rsidRDefault="00DA032A" w:rsidP="00DA032A">
            <w:pPr>
              <w:pStyle w:val="TableContent"/>
              <w:jc w:val="center"/>
              <w:rPr>
                <w:lang w:eastAsia="zh-CN"/>
              </w:rPr>
            </w:pPr>
            <w:r w:rsidRPr="00DA032A">
              <w:rPr>
                <w:lang w:eastAsia="zh-CN"/>
              </w:rPr>
              <w:lastRenderedPageBreak/>
              <w:t>Neuron</w:t>
            </w:r>
          </w:p>
        </w:tc>
        <w:tc>
          <w:tcPr>
            <w:tcW w:w="1500" w:type="pct"/>
            <w:vAlign w:val="center"/>
            <w:hideMark/>
          </w:tcPr>
          <w:p w14:paraId="7F819B70" w14:textId="77777777" w:rsidR="00DA032A" w:rsidRPr="00DA032A" w:rsidRDefault="00DA032A" w:rsidP="00DA032A">
            <w:pPr>
              <w:pStyle w:val="TableContent"/>
              <w:jc w:val="center"/>
              <w:rPr>
                <w:lang w:eastAsia="zh-CN"/>
              </w:rPr>
            </w:pPr>
            <w:r w:rsidRPr="00DA032A">
              <w:rPr>
                <w:lang w:eastAsia="zh-CN"/>
              </w:rPr>
              <w:t>Stimulus per knob</w:t>
            </w:r>
          </w:p>
        </w:tc>
        <w:tc>
          <w:tcPr>
            <w:tcW w:w="1450" w:type="pct"/>
            <w:vAlign w:val="center"/>
            <w:hideMark/>
          </w:tcPr>
          <w:p w14:paraId="2A35127F" w14:textId="77777777" w:rsidR="00DA032A" w:rsidRPr="00DA032A" w:rsidRDefault="00DA032A" w:rsidP="00DA032A">
            <w:pPr>
              <w:pStyle w:val="TableContent"/>
              <w:jc w:val="center"/>
              <w:rPr>
                <w:lang w:eastAsia="zh-CN"/>
              </w:rPr>
            </w:pPr>
            <w:r w:rsidRPr="00DA032A">
              <w:rPr>
                <w:lang w:eastAsia="zh-CN"/>
              </w:rPr>
              <w:t>Resting Potential</w:t>
            </w:r>
          </w:p>
        </w:tc>
        <w:tc>
          <w:tcPr>
            <w:tcW w:w="1300" w:type="pct"/>
            <w:vAlign w:val="center"/>
            <w:hideMark/>
          </w:tcPr>
          <w:p w14:paraId="511360E3" w14:textId="77777777" w:rsidR="00DA032A" w:rsidRPr="00DA032A" w:rsidRDefault="00DA032A" w:rsidP="00DA032A">
            <w:pPr>
              <w:pStyle w:val="TableContent"/>
              <w:jc w:val="center"/>
              <w:rPr>
                <w:lang w:eastAsia="zh-CN"/>
              </w:rPr>
            </w:pPr>
            <w:r w:rsidRPr="00DA032A">
              <w:rPr>
                <w:lang w:eastAsia="zh-CN"/>
              </w:rPr>
              <w:t>Action Potential</w:t>
            </w:r>
          </w:p>
        </w:tc>
      </w:tr>
      <w:tr w:rsidR="00DA032A" w:rsidRPr="00DA032A" w14:paraId="0AA2ED02" w14:textId="77777777" w:rsidTr="00DA032A">
        <w:trPr>
          <w:tblCellSpacing w:w="10" w:type="dxa"/>
        </w:trPr>
        <w:tc>
          <w:tcPr>
            <w:tcW w:w="700" w:type="pct"/>
            <w:vAlign w:val="center"/>
            <w:hideMark/>
          </w:tcPr>
          <w:p w14:paraId="059CAE59" w14:textId="77777777" w:rsidR="00DA032A" w:rsidRPr="00DA032A" w:rsidRDefault="00DA032A" w:rsidP="00DA032A">
            <w:pPr>
              <w:pStyle w:val="TableContent"/>
              <w:jc w:val="center"/>
              <w:rPr>
                <w:lang w:eastAsia="zh-CN"/>
              </w:rPr>
            </w:pPr>
            <w:r w:rsidRPr="00DA032A">
              <w:rPr>
                <w:lang w:eastAsia="zh-CN"/>
              </w:rPr>
              <w:t>1</w:t>
            </w:r>
          </w:p>
        </w:tc>
        <w:tc>
          <w:tcPr>
            <w:tcW w:w="1500" w:type="pct"/>
            <w:vAlign w:val="center"/>
            <w:hideMark/>
          </w:tcPr>
          <w:p w14:paraId="66D9498C" w14:textId="77777777" w:rsidR="00DA032A" w:rsidRPr="00DA032A" w:rsidRDefault="00DA032A" w:rsidP="00DA032A">
            <w:pPr>
              <w:pStyle w:val="TableContent"/>
              <w:jc w:val="center"/>
              <w:rPr>
                <w:lang w:eastAsia="zh-CN"/>
              </w:rPr>
            </w:pPr>
            <w:r w:rsidRPr="00DA032A">
              <w:rPr>
                <w:lang w:eastAsia="zh-CN"/>
              </w:rPr>
              <w:t>+10 mv</w:t>
            </w:r>
          </w:p>
        </w:tc>
        <w:tc>
          <w:tcPr>
            <w:tcW w:w="1450" w:type="pct"/>
            <w:vAlign w:val="center"/>
            <w:hideMark/>
          </w:tcPr>
          <w:p w14:paraId="38E7690F" w14:textId="77777777" w:rsidR="00DA032A" w:rsidRPr="00DA032A" w:rsidRDefault="00DA032A" w:rsidP="00DA032A">
            <w:pPr>
              <w:pStyle w:val="TableContent"/>
              <w:jc w:val="center"/>
              <w:rPr>
                <w:lang w:eastAsia="zh-CN"/>
              </w:rPr>
            </w:pPr>
            <w:r w:rsidRPr="00DA032A">
              <w:rPr>
                <w:lang w:eastAsia="zh-CN"/>
              </w:rPr>
              <w:t>-60 mv</w:t>
            </w:r>
          </w:p>
        </w:tc>
        <w:tc>
          <w:tcPr>
            <w:tcW w:w="1300" w:type="pct"/>
            <w:vAlign w:val="center"/>
            <w:hideMark/>
          </w:tcPr>
          <w:p w14:paraId="20B63F31" w14:textId="77777777" w:rsidR="00DA032A" w:rsidRPr="00DA032A" w:rsidRDefault="00DA032A" w:rsidP="00DA032A">
            <w:pPr>
              <w:pStyle w:val="TableContent"/>
              <w:jc w:val="center"/>
              <w:rPr>
                <w:lang w:eastAsia="zh-CN"/>
              </w:rPr>
            </w:pPr>
            <w:r w:rsidRPr="00DA032A">
              <w:rPr>
                <w:lang w:eastAsia="zh-CN"/>
              </w:rPr>
              <w:t>-65 mv</w:t>
            </w:r>
          </w:p>
        </w:tc>
      </w:tr>
      <w:tr w:rsidR="00DA032A" w:rsidRPr="00DA032A" w14:paraId="09A63F54" w14:textId="77777777" w:rsidTr="00DA032A">
        <w:trPr>
          <w:tblCellSpacing w:w="10" w:type="dxa"/>
        </w:trPr>
        <w:tc>
          <w:tcPr>
            <w:tcW w:w="700" w:type="pct"/>
            <w:vAlign w:val="center"/>
            <w:hideMark/>
          </w:tcPr>
          <w:p w14:paraId="276B0DAA" w14:textId="77777777" w:rsidR="00DA032A" w:rsidRPr="00DA032A" w:rsidRDefault="00DA032A" w:rsidP="00DA032A">
            <w:pPr>
              <w:pStyle w:val="TableContent"/>
              <w:jc w:val="center"/>
              <w:rPr>
                <w:lang w:eastAsia="zh-CN"/>
              </w:rPr>
            </w:pPr>
            <w:r w:rsidRPr="00DA032A">
              <w:rPr>
                <w:lang w:eastAsia="zh-CN"/>
              </w:rPr>
              <w:t>2</w:t>
            </w:r>
          </w:p>
        </w:tc>
        <w:tc>
          <w:tcPr>
            <w:tcW w:w="1500" w:type="pct"/>
            <w:vAlign w:val="center"/>
            <w:hideMark/>
          </w:tcPr>
          <w:p w14:paraId="50F8057A" w14:textId="77777777" w:rsidR="00DA032A" w:rsidRPr="00DA032A" w:rsidRDefault="00DA032A" w:rsidP="00DA032A">
            <w:pPr>
              <w:pStyle w:val="TableContent"/>
              <w:jc w:val="center"/>
              <w:rPr>
                <w:lang w:eastAsia="zh-CN"/>
              </w:rPr>
            </w:pPr>
            <w:r w:rsidRPr="00DA032A">
              <w:rPr>
                <w:lang w:eastAsia="zh-CN"/>
              </w:rPr>
              <w:t>+5 mv</w:t>
            </w:r>
          </w:p>
        </w:tc>
        <w:tc>
          <w:tcPr>
            <w:tcW w:w="1450" w:type="pct"/>
            <w:vAlign w:val="center"/>
            <w:hideMark/>
          </w:tcPr>
          <w:p w14:paraId="55F7078A" w14:textId="77777777" w:rsidR="00DA032A" w:rsidRPr="00DA032A" w:rsidRDefault="00DA032A" w:rsidP="00DA032A">
            <w:pPr>
              <w:pStyle w:val="TableContent"/>
              <w:jc w:val="center"/>
              <w:rPr>
                <w:lang w:eastAsia="zh-CN"/>
              </w:rPr>
            </w:pPr>
            <w:r w:rsidRPr="00DA032A">
              <w:rPr>
                <w:lang w:eastAsia="zh-CN"/>
              </w:rPr>
              <w:t>-70 mv</w:t>
            </w:r>
          </w:p>
        </w:tc>
        <w:tc>
          <w:tcPr>
            <w:tcW w:w="1300" w:type="pct"/>
            <w:vAlign w:val="center"/>
            <w:hideMark/>
          </w:tcPr>
          <w:p w14:paraId="00E91A65" w14:textId="77777777" w:rsidR="00DA032A" w:rsidRPr="00DA032A" w:rsidRDefault="00DA032A" w:rsidP="00DA032A">
            <w:pPr>
              <w:pStyle w:val="TableContent"/>
              <w:jc w:val="center"/>
              <w:rPr>
                <w:lang w:eastAsia="zh-CN"/>
              </w:rPr>
            </w:pPr>
            <w:r w:rsidRPr="00DA032A">
              <w:rPr>
                <w:lang w:eastAsia="zh-CN"/>
              </w:rPr>
              <w:t>-45 mv</w:t>
            </w:r>
          </w:p>
        </w:tc>
      </w:tr>
    </w:tbl>
    <w:p w14:paraId="49D83A8E" w14:textId="77777777" w:rsidR="007E7ACA" w:rsidRDefault="007E7ACA" w:rsidP="004D0F19">
      <w:pPr>
        <w:rPr>
          <w:b/>
          <w:lang w:eastAsia="zh-CN"/>
        </w:rPr>
      </w:pPr>
    </w:p>
    <w:p w14:paraId="074B320B" w14:textId="77777777" w:rsidR="00DA032A" w:rsidRPr="00461BD1" w:rsidRDefault="00DA032A" w:rsidP="004D0F19">
      <w:pPr>
        <w:rPr>
          <w:b/>
          <w:lang w:eastAsia="zh-CN"/>
        </w:rPr>
      </w:pPr>
      <w:r w:rsidRPr="00461BD1">
        <w:rPr>
          <w:b/>
          <w:lang w:eastAsia="zh-CN"/>
        </w:rPr>
        <w:t>Strategy:</w:t>
      </w:r>
    </w:p>
    <w:p w14:paraId="6ACB80B2" w14:textId="77777777" w:rsidR="00683B29" w:rsidRDefault="00DA032A" w:rsidP="004D0F19">
      <w:pPr>
        <w:rPr>
          <w:lang w:eastAsia="zh-CN"/>
        </w:rPr>
      </w:pPr>
      <w:r w:rsidRPr="00DA032A">
        <w:rPr>
          <w:lang w:eastAsia="zh-CN"/>
        </w:rPr>
        <w:t>1. First we determine the stimulus power of the first neuron. The stimulus power of neuron 1 (S) can be described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B4B33" w14:paraId="79939D54" w14:textId="77777777" w:rsidTr="00DD5F2A">
        <w:tc>
          <w:tcPr>
            <w:tcW w:w="4675" w:type="dxa"/>
            <w:vAlign w:val="center"/>
          </w:tcPr>
          <w:p w14:paraId="1C152F6B" w14:textId="77777777" w:rsidR="005B4B33" w:rsidRDefault="000C59C8" w:rsidP="004D0F19">
            <w:pPr>
              <w:rPr>
                <w:lang w:eastAsia="zh-CN"/>
              </w:rPr>
            </w:pPr>
            <m:oMathPara>
              <m:oMath>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1</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k1</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1</m:t>
                    </m:r>
                  </m:sub>
                </m:sSub>
              </m:oMath>
            </m:oMathPara>
          </w:p>
        </w:tc>
        <w:tc>
          <w:tcPr>
            <w:tcW w:w="4675" w:type="dxa"/>
            <w:vAlign w:val="center"/>
          </w:tcPr>
          <w:p w14:paraId="73C8CDFF" w14:textId="77777777" w:rsidR="005B4B33" w:rsidRDefault="005B4B33" w:rsidP="004D0F19">
            <w:pPr>
              <w:rPr>
                <w:lang w:eastAsia="zh-CN"/>
              </w:rPr>
            </w:pPr>
            <w:r>
              <w:rPr>
                <w:lang w:eastAsia="zh-CN"/>
              </w:rPr>
              <w:t>LaTeX Code: \[ S_1 = S_{k1} \times k_1 \]</w:t>
            </w:r>
          </w:p>
        </w:tc>
      </w:tr>
    </w:tbl>
    <w:p w14:paraId="2F079CB9" w14:textId="77777777" w:rsidR="00DA032A" w:rsidRPr="00DA032A" w:rsidRDefault="00DA032A" w:rsidP="004D0F19">
      <w:pPr>
        <w:rPr>
          <w:lang w:eastAsia="zh-CN"/>
        </w:rPr>
      </w:pPr>
      <w:r w:rsidRPr="00DA032A">
        <w:rPr>
          <w:lang w:eastAsia="zh-CN"/>
        </w:rPr>
        <w:t>where S</w:t>
      </w:r>
      <w:r w:rsidRPr="00DA032A">
        <w:rPr>
          <w:vertAlign w:val="subscript"/>
          <w:lang w:eastAsia="zh-CN"/>
        </w:rPr>
        <w:t>k</w:t>
      </w:r>
      <w:r w:rsidR="009D6B7C">
        <w:rPr>
          <w:lang w:eastAsia="zh-CN"/>
        </w:rPr>
        <w:t xml:space="preserve"> </w:t>
      </w:r>
      <w:r w:rsidRPr="00DA032A">
        <w:rPr>
          <w:lang w:eastAsia="zh-CN"/>
        </w:rPr>
        <w:t>is the stimulus power per knob and k is the number of knobs. This stimulus will then pass to the target neuron as an EPSP. Here S</w:t>
      </w:r>
      <w:r w:rsidRPr="00DA032A">
        <w:rPr>
          <w:vertAlign w:val="subscript"/>
          <w:lang w:eastAsia="zh-CN"/>
        </w:rPr>
        <w:t>1</w:t>
      </w:r>
      <w:r w:rsidR="00D56251">
        <w:rPr>
          <w:lang w:eastAsia="zh-CN"/>
        </w:rPr>
        <w:t xml:space="preserve"> </w:t>
      </w:r>
      <w:r w:rsidRPr="00DA032A">
        <w:rPr>
          <w:lang w:eastAsia="zh-CN"/>
        </w:rPr>
        <w:t xml:space="preserve">= (+10 mv/knob) </w:t>
      </w:r>
      <w:r w:rsidR="00DA5F52">
        <w:rPr>
          <w:lang w:eastAsia="zh-CN"/>
        </w:rPr>
        <w:t>*</w:t>
      </w:r>
      <w:r w:rsidRPr="00DA032A">
        <w:rPr>
          <w:lang w:eastAsia="zh-CN"/>
        </w:rPr>
        <w:t xml:space="preserve"> (2 knobs)</w:t>
      </w:r>
      <w:r w:rsidR="00563BD7">
        <w:rPr>
          <w:lang w:eastAsia="zh-CN"/>
        </w:rPr>
        <w:t xml:space="preserve"> </w:t>
      </w:r>
      <w:r w:rsidRPr="00DA032A">
        <w:rPr>
          <w:lang w:eastAsia="zh-CN"/>
        </w:rPr>
        <w:t>=</w:t>
      </w:r>
      <w:r w:rsidR="00563BD7">
        <w:rPr>
          <w:lang w:eastAsia="zh-CN"/>
        </w:rPr>
        <w:t xml:space="preserve"> </w:t>
      </w:r>
      <w:r w:rsidRPr="00DA032A">
        <w:rPr>
          <w:lang w:eastAsia="zh-CN"/>
        </w:rPr>
        <w:t>20mv.</w:t>
      </w:r>
    </w:p>
    <w:p w14:paraId="52142CC3" w14:textId="77777777" w:rsidR="00DA032A" w:rsidRDefault="00DA032A" w:rsidP="004D0F19">
      <w:pPr>
        <w:rPr>
          <w:lang w:eastAsia="zh-CN"/>
        </w:rPr>
      </w:pPr>
      <w:r w:rsidRPr="00DA032A">
        <w:rPr>
          <w:lang w:eastAsia="zh-CN"/>
        </w:rPr>
        <w:t>2. The stimulus from neuron 1 passes through the synapse to neuron 2. The membrane potential of the second neuron can then be calculated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F502C" w14:paraId="23FB6570" w14:textId="77777777" w:rsidTr="00873FB7">
        <w:tc>
          <w:tcPr>
            <w:tcW w:w="4675" w:type="dxa"/>
            <w:vAlign w:val="center"/>
          </w:tcPr>
          <w:p w14:paraId="6B062096" w14:textId="77777777" w:rsidR="008F502C" w:rsidRDefault="000C59C8" w:rsidP="004D0F19">
            <w:pPr>
              <w:rPr>
                <w:lang w:eastAsia="zh-CN"/>
              </w:rPr>
            </w:pPr>
            <m:oMathPara>
              <m:oMath>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2</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1</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R</m:t>
                    </m:r>
                  </m:e>
                  <m:sub>
                    <m:r>
                      <w:rPr>
                        <w:rFonts w:ascii="Cambria Math" w:hAnsi="Cambria Math"/>
                        <w:lang w:eastAsia="zh-CN"/>
                      </w:rPr>
                      <m:t>3</m:t>
                    </m:r>
                  </m:sub>
                </m:sSub>
              </m:oMath>
            </m:oMathPara>
          </w:p>
        </w:tc>
        <w:tc>
          <w:tcPr>
            <w:tcW w:w="4675" w:type="dxa"/>
            <w:vAlign w:val="center"/>
          </w:tcPr>
          <w:p w14:paraId="651CFBF9" w14:textId="77777777" w:rsidR="008F502C" w:rsidRDefault="008F502C" w:rsidP="004D0F19">
            <w:pPr>
              <w:rPr>
                <w:lang w:eastAsia="zh-CN"/>
              </w:rPr>
            </w:pPr>
            <w:r>
              <w:rPr>
                <w:lang w:eastAsia="zh-CN"/>
              </w:rPr>
              <w:t>LaTeX Code: \[ S_2 = S_1 \times R_2 \]</w:t>
            </w:r>
          </w:p>
        </w:tc>
      </w:tr>
    </w:tbl>
    <w:p w14:paraId="7E6F3554" w14:textId="77777777" w:rsidR="00DA032A" w:rsidRPr="00DA032A" w:rsidRDefault="00DA032A" w:rsidP="004D0F19">
      <w:pPr>
        <w:rPr>
          <w:lang w:eastAsia="zh-CN"/>
        </w:rPr>
      </w:pPr>
      <w:r w:rsidRPr="00DA032A">
        <w:rPr>
          <w:lang w:eastAsia="zh-CN"/>
        </w:rPr>
        <w:t>where R</w:t>
      </w:r>
      <w:r w:rsidRPr="00DA032A">
        <w:rPr>
          <w:vertAlign w:val="subscript"/>
          <w:lang w:eastAsia="zh-CN"/>
        </w:rPr>
        <w:t>2</w:t>
      </w:r>
      <w:r w:rsidR="004736EE">
        <w:rPr>
          <w:lang w:eastAsia="zh-CN"/>
        </w:rPr>
        <w:t xml:space="preserve"> </w:t>
      </w:r>
      <w:r w:rsidRPr="00DA032A">
        <w:rPr>
          <w:lang w:eastAsia="zh-CN"/>
        </w:rPr>
        <w:t>is the resting potential of the second neuron. In this example, S</w:t>
      </w:r>
      <w:r w:rsidRPr="00DA032A">
        <w:rPr>
          <w:vertAlign w:val="subscript"/>
          <w:lang w:eastAsia="zh-CN"/>
        </w:rPr>
        <w:t>2</w:t>
      </w:r>
      <w:r w:rsidR="005A544F">
        <w:rPr>
          <w:lang w:eastAsia="zh-CN"/>
        </w:rPr>
        <w:t xml:space="preserve"> </w:t>
      </w:r>
      <w:r w:rsidRPr="00DA032A">
        <w:rPr>
          <w:lang w:eastAsia="zh-CN"/>
        </w:rPr>
        <w:t>= 20 mv + (-70mv) = -50 mv.</w:t>
      </w:r>
    </w:p>
    <w:p w14:paraId="0B5DC7D6" w14:textId="77777777" w:rsidR="00DA032A" w:rsidRPr="00DA032A" w:rsidRDefault="00DA032A" w:rsidP="004D0F19">
      <w:pPr>
        <w:rPr>
          <w:lang w:eastAsia="zh-CN"/>
        </w:rPr>
      </w:pPr>
      <w:r w:rsidRPr="00DA032A">
        <w:rPr>
          <w:lang w:eastAsia="zh-CN"/>
        </w:rPr>
        <w:t>3. In order for neuron 2 to be stimulated and contract the muscle, the membrane potential must surpass the action potential threshold. In other words, S</w:t>
      </w:r>
      <w:r w:rsidRPr="00DA032A">
        <w:rPr>
          <w:vertAlign w:val="subscript"/>
          <w:lang w:eastAsia="zh-CN"/>
        </w:rPr>
        <w:t>2</w:t>
      </w:r>
      <w:r w:rsidRPr="00DA032A">
        <w:rPr>
          <w:lang w:eastAsia="zh-CN"/>
        </w:rPr>
        <w:t> must be greater than the action potential of the 2nd neuron (S</w:t>
      </w:r>
      <w:r w:rsidRPr="00DA032A">
        <w:rPr>
          <w:vertAlign w:val="subscript"/>
          <w:lang w:eastAsia="zh-CN"/>
        </w:rPr>
        <w:t>2</w:t>
      </w:r>
      <w:r w:rsidR="00004B25">
        <w:rPr>
          <w:lang w:eastAsia="zh-CN"/>
        </w:rPr>
        <w:t xml:space="preserve"> </w:t>
      </w:r>
      <w:r w:rsidRPr="00DA032A">
        <w:rPr>
          <w:lang w:eastAsia="zh-CN"/>
        </w:rPr>
        <w:t>&gt; A</w:t>
      </w:r>
      <w:r w:rsidRPr="00DA032A">
        <w:rPr>
          <w:vertAlign w:val="subscript"/>
          <w:lang w:eastAsia="zh-CN"/>
        </w:rPr>
        <w:t>2</w:t>
      </w:r>
      <w:r w:rsidRPr="00DA032A">
        <w:rPr>
          <w:lang w:eastAsia="zh-CN"/>
        </w:rPr>
        <w:t>). In the example, we check to see if -50mv is greater than</w:t>
      </w:r>
    </w:p>
    <w:p w14:paraId="27C81B02" w14:textId="77777777" w:rsidR="00DA032A" w:rsidRPr="00DA032A" w:rsidRDefault="00DA032A" w:rsidP="004D0F19">
      <w:pPr>
        <w:rPr>
          <w:lang w:eastAsia="zh-CN"/>
        </w:rPr>
      </w:pPr>
      <w:r w:rsidRPr="00DA032A">
        <w:rPr>
          <w:lang w:eastAsia="zh-CN"/>
        </w:rPr>
        <w:t xml:space="preserve">-45 mv. In fact, by the properties of negative numbers, -50 &lt; -45, so the action potential does not </w:t>
      </w:r>
      <w:r w:rsidR="009A5E1E" w:rsidRPr="00DA032A">
        <w:rPr>
          <w:lang w:eastAsia="zh-CN"/>
        </w:rPr>
        <w:t>occur,</w:t>
      </w:r>
      <w:r w:rsidRPr="00DA032A">
        <w:rPr>
          <w:lang w:eastAsia="zh-CN"/>
        </w:rPr>
        <w:t xml:space="preserve"> and the muscle is not stimulated.</w:t>
      </w:r>
    </w:p>
    <w:p w14:paraId="42C0F365" w14:textId="77777777" w:rsidR="008E6A8B" w:rsidRPr="008E6A8B" w:rsidRDefault="00DA032A" w:rsidP="00A00F98">
      <w:pPr>
        <w:rPr>
          <w:lang w:eastAsia="zh-CN"/>
        </w:rPr>
      </w:pPr>
      <w:r w:rsidRPr="00DA032A">
        <w:rPr>
          <w:lang w:eastAsia="zh-CN"/>
        </w:rPr>
        <w:t>This algorithm can be extended to chains of more than 2 neurons. In this case, the stimulus power for each neuron is calculated and summed to determine the EPSP.</w:t>
      </w:r>
    </w:p>
    <w:p w14:paraId="7F463118" w14:textId="77777777" w:rsidR="00283F45" w:rsidRDefault="00283F45" w:rsidP="00283F45">
      <w:pPr>
        <w:pStyle w:val="Heading1"/>
      </w:pPr>
      <w:r>
        <w:t>Conclusion</w:t>
      </w:r>
    </w:p>
    <w:p w14:paraId="42D669E4" w14:textId="77777777" w:rsidR="008E6A8B" w:rsidRPr="008E6A8B" w:rsidRDefault="00A00F98" w:rsidP="008E6A8B">
      <w:r w:rsidRPr="00A00F98">
        <w:t xml:space="preserve">Notice that the stimulus power of the first neuron depends on the number of synaptic knobs the neuron possesses. As the number of knobs on a neuron increases, its potential to stimulate a target neuron </w:t>
      </w:r>
      <w:r w:rsidR="004F68EB" w:rsidRPr="00A00F98">
        <w:t>increase</w:t>
      </w:r>
      <w:r w:rsidRPr="00A00F98">
        <w:t xml:space="preserve">. This is the idea of simultaneous EPSP's: one or two EPSP's may not be sufficient to stimulate the target neuron. </w:t>
      </w:r>
      <w:r w:rsidRPr="00A00F98">
        <w:lastRenderedPageBreak/>
        <w:t>However, if EPSP's arrive simultaneously, either through the presence of additional synaptic knobs or other neurons, the action potential may be reached.</w:t>
      </w:r>
    </w:p>
    <w:p w14:paraId="36A9398E" w14:textId="77777777" w:rsidR="008E6A8B" w:rsidRDefault="008E6A8B" w:rsidP="00283F45">
      <w:pPr>
        <w:pStyle w:val="Heading1"/>
      </w:pPr>
      <w:r>
        <w:t>Additional Questions</w:t>
      </w:r>
    </w:p>
    <w:p w14:paraId="1511BB61" w14:textId="77777777" w:rsidR="00085D85" w:rsidRPr="00085D85" w:rsidRDefault="00085D85" w:rsidP="00085D85">
      <w:pPr>
        <w:rPr>
          <w:lang w:eastAsia="zh-CN"/>
        </w:rPr>
      </w:pPr>
      <w:r w:rsidRPr="00085D85">
        <w:rPr>
          <w:lang w:eastAsia="zh-CN"/>
        </w:rPr>
        <w:t>1. In our example, assume that neuron 1 has 3 instead of 2 synaptic knobs. In this case, will the muscle contract?</w:t>
      </w:r>
    </w:p>
    <w:p w14:paraId="644E33F4" w14:textId="77777777" w:rsidR="00085D85" w:rsidRPr="00085D85" w:rsidRDefault="00085D85" w:rsidP="00085D85">
      <w:pPr>
        <w:rPr>
          <w:lang w:eastAsia="zh-CN"/>
        </w:rPr>
      </w:pPr>
      <w:r w:rsidRPr="00085D85">
        <w:rPr>
          <w:lang w:eastAsia="zh-CN"/>
        </w:rPr>
        <w:t>2. Try the following example:</w:t>
      </w:r>
    </w:p>
    <w:p w14:paraId="272C0EEE" w14:textId="77777777" w:rsidR="00085D85" w:rsidRPr="00085D85" w:rsidRDefault="00085D85" w:rsidP="00085D85">
      <w:pPr>
        <w:jc w:val="center"/>
        <w:rPr>
          <w:lang w:eastAsia="zh-CN"/>
        </w:rPr>
      </w:pPr>
      <w:r w:rsidRPr="00085D85">
        <w:rPr>
          <w:lang w:eastAsia="zh-CN"/>
        </w:rPr>
        <w:fldChar w:fldCharType="begin"/>
      </w:r>
      <w:r w:rsidRPr="00085D85">
        <w:rPr>
          <w:lang w:eastAsia="zh-CN"/>
        </w:rPr>
        <w:instrText xml:space="preserve"> INCLUDEPICTURE "http://www.tiem.utk.edu/~gross/bioed/webmodules/neuron2.gif" \* MERGEFORMATINET </w:instrText>
      </w:r>
      <w:r w:rsidRPr="00085D85">
        <w:rPr>
          <w:lang w:eastAsia="zh-CN"/>
        </w:rPr>
        <w:fldChar w:fldCharType="separate"/>
      </w:r>
      <w:r w:rsidRPr="00085D85">
        <w:rPr>
          <w:noProof/>
          <w:lang w:eastAsia="zh-CN"/>
        </w:rPr>
        <w:drawing>
          <wp:inline distT="0" distB="0" distL="0" distR="0" wp14:anchorId="3950405F" wp14:editId="56C24B09">
            <wp:extent cx="3657600" cy="2226155"/>
            <wp:effectExtent l="0" t="0" r="0" b="0"/>
            <wp:docPr id="3" name="Picture 3" descr="http://www.tiem.utk.edu/~gross/bioed/webmodules/neur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em.utk.edu/~gross/bioed/webmodules/neuron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226155"/>
                    </a:xfrm>
                    <a:prstGeom prst="rect">
                      <a:avLst/>
                    </a:prstGeom>
                    <a:noFill/>
                    <a:ln>
                      <a:noFill/>
                    </a:ln>
                  </pic:spPr>
                </pic:pic>
              </a:graphicData>
            </a:graphic>
          </wp:inline>
        </w:drawing>
      </w:r>
      <w:r w:rsidRPr="00085D85">
        <w:rPr>
          <w:lang w:eastAsia="zh-CN"/>
        </w:rPr>
        <w:fldChar w:fldCharType="end"/>
      </w:r>
    </w:p>
    <w:p w14:paraId="60457A87" w14:textId="77777777" w:rsidR="00085D85" w:rsidRPr="00085D85" w:rsidRDefault="00085D85" w:rsidP="00085D85">
      <w:pPr>
        <w:rPr>
          <w:lang w:eastAsia="zh-CN"/>
        </w:rPr>
      </w:pPr>
      <w:r w:rsidRPr="00085D85">
        <w:rPr>
          <w:lang w:eastAsia="zh-CN"/>
        </w:rPr>
        <w:t>Use the following data:</w:t>
      </w:r>
    </w:p>
    <w:tbl>
      <w:tblPr>
        <w:tblW w:w="6750" w:type="dxa"/>
        <w:jc w:val="center"/>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1093"/>
        <w:gridCol w:w="1949"/>
        <w:gridCol w:w="1882"/>
        <w:gridCol w:w="1826"/>
      </w:tblGrid>
      <w:tr w:rsidR="00085D85" w:rsidRPr="00085D85" w14:paraId="1F138A09" w14:textId="77777777" w:rsidTr="00085D85">
        <w:trPr>
          <w:tblCellSpacing w:w="10" w:type="dxa"/>
          <w:jc w:val="center"/>
        </w:trPr>
        <w:tc>
          <w:tcPr>
            <w:tcW w:w="800" w:type="pct"/>
            <w:vAlign w:val="center"/>
            <w:hideMark/>
          </w:tcPr>
          <w:p w14:paraId="647A847A" w14:textId="77777777" w:rsidR="00085D85" w:rsidRPr="00085D85" w:rsidRDefault="00085D85" w:rsidP="00085D85">
            <w:pPr>
              <w:pStyle w:val="TableContent"/>
              <w:rPr>
                <w:lang w:eastAsia="zh-CN"/>
              </w:rPr>
            </w:pPr>
            <w:r w:rsidRPr="00085D85">
              <w:rPr>
                <w:lang w:eastAsia="zh-CN"/>
              </w:rPr>
              <w:t>Neuron</w:t>
            </w:r>
          </w:p>
        </w:tc>
        <w:tc>
          <w:tcPr>
            <w:tcW w:w="1450" w:type="pct"/>
            <w:vAlign w:val="center"/>
            <w:hideMark/>
          </w:tcPr>
          <w:p w14:paraId="4B392AB0" w14:textId="77777777" w:rsidR="00085D85" w:rsidRPr="00085D85" w:rsidRDefault="00085D85" w:rsidP="00085D85">
            <w:pPr>
              <w:pStyle w:val="TableContent"/>
              <w:rPr>
                <w:lang w:eastAsia="zh-CN"/>
              </w:rPr>
            </w:pPr>
            <w:r w:rsidRPr="00085D85">
              <w:rPr>
                <w:lang w:eastAsia="zh-CN"/>
              </w:rPr>
              <w:t>Stimulus per knob</w:t>
            </w:r>
          </w:p>
        </w:tc>
        <w:tc>
          <w:tcPr>
            <w:tcW w:w="1400" w:type="pct"/>
            <w:vAlign w:val="center"/>
            <w:hideMark/>
          </w:tcPr>
          <w:p w14:paraId="6B279121" w14:textId="77777777" w:rsidR="00085D85" w:rsidRPr="00085D85" w:rsidRDefault="00085D85" w:rsidP="00085D85">
            <w:pPr>
              <w:pStyle w:val="TableContent"/>
              <w:rPr>
                <w:lang w:eastAsia="zh-CN"/>
              </w:rPr>
            </w:pPr>
            <w:r w:rsidRPr="00085D85">
              <w:rPr>
                <w:lang w:eastAsia="zh-CN"/>
              </w:rPr>
              <w:t>Resting potential</w:t>
            </w:r>
          </w:p>
        </w:tc>
        <w:tc>
          <w:tcPr>
            <w:tcW w:w="1350" w:type="pct"/>
            <w:vAlign w:val="center"/>
            <w:hideMark/>
          </w:tcPr>
          <w:p w14:paraId="67F78E1B" w14:textId="77777777" w:rsidR="00085D85" w:rsidRPr="00085D85" w:rsidRDefault="00085D85" w:rsidP="00085D85">
            <w:pPr>
              <w:pStyle w:val="TableContent"/>
              <w:rPr>
                <w:lang w:eastAsia="zh-CN"/>
              </w:rPr>
            </w:pPr>
            <w:r w:rsidRPr="00085D85">
              <w:rPr>
                <w:lang w:eastAsia="zh-CN"/>
              </w:rPr>
              <w:t>Action potential</w:t>
            </w:r>
          </w:p>
        </w:tc>
      </w:tr>
      <w:tr w:rsidR="00085D85" w:rsidRPr="00085D85" w14:paraId="6EB983B8" w14:textId="77777777" w:rsidTr="00085D85">
        <w:trPr>
          <w:tblCellSpacing w:w="10" w:type="dxa"/>
          <w:jc w:val="center"/>
        </w:trPr>
        <w:tc>
          <w:tcPr>
            <w:tcW w:w="800" w:type="pct"/>
            <w:vAlign w:val="center"/>
            <w:hideMark/>
          </w:tcPr>
          <w:p w14:paraId="4BA34825" w14:textId="77777777" w:rsidR="00085D85" w:rsidRPr="00085D85" w:rsidRDefault="00085D85" w:rsidP="00085D85">
            <w:pPr>
              <w:pStyle w:val="TableContent"/>
              <w:rPr>
                <w:lang w:eastAsia="zh-CN"/>
              </w:rPr>
            </w:pPr>
            <w:r w:rsidRPr="00085D85">
              <w:rPr>
                <w:lang w:eastAsia="zh-CN"/>
              </w:rPr>
              <w:t>1</w:t>
            </w:r>
          </w:p>
        </w:tc>
        <w:tc>
          <w:tcPr>
            <w:tcW w:w="1450" w:type="pct"/>
            <w:vAlign w:val="center"/>
            <w:hideMark/>
          </w:tcPr>
          <w:p w14:paraId="52139B37" w14:textId="77777777" w:rsidR="00085D85" w:rsidRPr="00085D85" w:rsidRDefault="00085D85" w:rsidP="00085D85">
            <w:pPr>
              <w:pStyle w:val="TableContent"/>
              <w:rPr>
                <w:lang w:eastAsia="zh-CN"/>
              </w:rPr>
            </w:pPr>
            <w:r w:rsidRPr="00085D85">
              <w:rPr>
                <w:lang w:eastAsia="zh-CN"/>
              </w:rPr>
              <w:t>+10 mv</w:t>
            </w:r>
          </w:p>
        </w:tc>
        <w:tc>
          <w:tcPr>
            <w:tcW w:w="1400" w:type="pct"/>
            <w:vAlign w:val="center"/>
            <w:hideMark/>
          </w:tcPr>
          <w:p w14:paraId="55367CC6" w14:textId="77777777" w:rsidR="00085D85" w:rsidRPr="00085D85" w:rsidRDefault="00085D85" w:rsidP="00085D85">
            <w:pPr>
              <w:pStyle w:val="TableContent"/>
              <w:rPr>
                <w:lang w:eastAsia="zh-CN"/>
              </w:rPr>
            </w:pPr>
            <w:r w:rsidRPr="00085D85">
              <w:rPr>
                <w:lang w:eastAsia="zh-CN"/>
              </w:rPr>
              <w:t>-60 mv</w:t>
            </w:r>
          </w:p>
        </w:tc>
        <w:tc>
          <w:tcPr>
            <w:tcW w:w="1350" w:type="pct"/>
            <w:vAlign w:val="center"/>
            <w:hideMark/>
          </w:tcPr>
          <w:p w14:paraId="265D9212" w14:textId="77777777" w:rsidR="00085D85" w:rsidRPr="00085D85" w:rsidRDefault="00085D85" w:rsidP="00085D85">
            <w:pPr>
              <w:pStyle w:val="TableContent"/>
              <w:rPr>
                <w:lang w:eastAsia="zh-CN"/>
              </w:rPr>
            </w:pPr>
            <w:r w:rsidRPr="00085D85">
              <w:rPr>
                <w:lang w:eastAsia="zh-CN"/>
              </w:rPr>
              <w:t>-70 mv</w:t>
            </w:r>
          </w:p>
        </w:tc>
      </w:tr>
      <w:tr w:rsidR="00085D85" w:rsidRPr="00085D85" w14:paraId="185EA54F" w14:textId="77777777" w:rsidTr="00085D85">
        <w:trPr>
          <w:tblCellSpacing w:w="10" w:type="dxa"/>
          <w:jc w:val="center"/>
        </w:trPr>
        <w:tc>
          <w:tcPr>
            <w:tcW w:w="800" w:type="pct"/>
            <w:vAlign w:val="center"/>
            <w:hideMark/>
          </w:tcPr>
          <w:p w14:paraId="5DFF191C" w14:textId="77777777" w:rsidR="00085D85" w:rsidRPr="00085D85" w:rsidRDefault="00085D85" w:rsidP="00085D85">
            <w:pPr>
              <w:pStyle w:val="TableContent"/>
              <w:rPr>
                <w:lang w:eastAsia="zh-CN"/>
              </w:rPr>
            </w:pPr>
            <w:r w:rsidRPr="00085D85">
              <w:rPr>
                <w:lang w:eastAsia="zh-CN"/>
              </w:rPr>
              <w:t>2</w:t>
            </w:r>
          </w:p>
        </w:tc>
        <w:tc>
          <w:tcPr>
            <w:tcW w:w="1450" w:type="pct"/>
            <w:vAlign w:val="center"/>
            <w:hideMark/>
          </w:tcPr>
          <w:p w14:paraId="1E733D56" w14:textId="77777777" w:rsidR="00085D85" w:rsidRPr="00085D85" w:rsidRDefault="00085D85" w:rsidP="00085D85">
            <w:pPr>
              <w:pStyle w:val="TableContent"/>
              <w:rPr>
                <w:lang w:eastAsia="zh-CN"/>
              </w:rPr>
            </w:pPr>
            <w:r w:rsidRPr="00085D85">
              <w:rPr>
                <w:lang w:eastAsia="zh-CN"/>
              </w:rPr>
              <w:t>+5 mv</w:t>
            </w:r>
          </w:p>
        </w:tc>
        <w:tc>
          <w:tcPr>
            <w:tcW w:w="1400" w:type="pct"/>
            <w:vAlign w:val="center"/>
            <w:hideMark/>
          </w:tcPr>
          <w:p w14:paraId="4604D0E0" w14:textId="77777777" w:rsidR="00085D85" w:rsidRPr="00085D85" w:rsidRDefault="00085D85" w:rsidP="00085D85">
            <w:pPr>
              <w:pStyle w:val="TableContent"/>
              <w:rPr>
                <w:lang w:eastAsia="zh-CN"/>
              </w:rPr>
            </w:pPr>
            <w:r w:rsidRPr="00085D85">
              <w:rPr>
                <w:lang w:eastAsia="zh-CN"/>
              </w:rPr>
              <w:t>-70 mv</w:t>
            </w:r>
          </w:p>
        </w:tc>
        <w:tc>
          <w:tcPr>
            <w:tcW w:w="1350" w:type="pct"/>
            <w:vAlign w:val="center"/>
            <w:hideMark/>
          </w:tcPr>
          <w:p w14:paraId="41CE09E6" w14:textId="77777777" w:rsidR="00085D85" w:rsidRPr="00085D85" w:rsidRDefault="00085D85" w:rsidP="00085D85">
            <w:pPr>
              <w:pStyle w:val="TableContent"/>
              <w:rPr>
                <w:lang w:eastAsia="zh-CN"/>
              </w:rPr>
            </w:pPr>
            <w:r w:rsidRPr="00085D85">
              <w:rPr>
                <w:lang w:eastAsia="zh-CN"/>
              </w:rPr>
              <w:t>-65 mv</w:t>
            </w:r>
          </w:p>
        </w:tc>
      </w:tr>
      <w:tr w:rsidR="00085D85" w:rsidRPr="00085D85" w14:paraId="0BF5D744" w14:textId="77777777" w:rsidTr="00085D85">
        <w:trPr>
          <w:tblCellSpacing w:w="10" w:type="dxa"/>
          <w:jc w:val="center"/>
        </w:trPr>
        <w:tc>
          <w:tcPr>
            <w:tcW w:w="800" w:type="pct"/>
            <w:vAlign w:val="center"/>
            <w:hideMark/>
          </w:tcPr>
          <w:p w14:paraId="01F878A2" w14:textId="77777777" w:rsidR="00085D85" w:rsidRPr="00085D85" w:rsidRDefault="00085D85" w:rsidP="00085D85">
            <w:pPr>
              <w:pStyle w:val="TableContent"/>
              <w:rPr>
                <w:lang w:eastAsia="zh-CN"/>
              </w:rPr>
            </w:pPr>
            <w:r w:rsidRPr="00085D85">
              <w:rPr>
                <w:lang w:eastAsia="zh-CN"/>
              </w:rPr>
              <w:t>3</w:t>
            </w:r>
          </w:p>
        </w:tc>
        <w:tc>
          <w:tcPr>
            <w:tcW w:w="1450" w:type="pct"/>
            <w:vAlign w:val="center"/>
            <w:hideMark/>
          </w:tcPr>
          <w:p w14:paraId="3438836B" w14:textId="77777777" w:rsidR="00085D85" w:rsidRPr="00085D85" w:rsidRDefault="00085D85" w:rsidP="00085D85">
            <w:pPr>
              <w:pStyle w:val="TableContent"/>
              <w:rPr>
                <w:lang w:eastAsia="zh-CN"/>
              </w:rPr>
            </w:pPr>
            <w:r w:rsidRPr="00085D85">
              <w:rPr>
                <w:lang w:eastAsia="zh-CN"/>
              </w:rPr>
              <w:t>+10 mv</w:t>
            </w:r>
          </w:p>
        </w:tc>
        <w:tc>
          <w:tcPr>
            <w:tcW w:w="1400" w:type="pct"/>
            <w:vAlign w:val="center"/>
            <w:hideMark/>
          </w:tcPr>
          <w:p w14:paraId="77166BEC" w14:textId="77777777" w:rsidR="00085D85" w:rsidRPr="00085D85" w:rsidRDefault="00085D85" w:rsidP="00085D85">
            <w:pPr>
              <w:pStyle w:val="TableContent"/>
              <w:rPr>
                <w:lang w:eastAsia="zh-CN"/>
              </w:rPr>
            </w:pPr>
            <w:r w:rsidRPr="00085D85">
              <w:rPr>
                <w:lang w:eastAsia="zh-CN"/>
              </w:rPr>
              <w:t>-65 mv</w:t>
            </w:r>
          </w:p>
        </w:tc>
        <w:tc>
          <w:tcPr>
            <w:tcW w:w="1350" w:type="pct"/>
            <w:vAlign w:val="center"/>
            <w:hideMark/>
          </w:tcPr>
          <w:p w14:paraId="32373B97" w14:textId="77777777" w:rsidR="00085D85" w:rsidRPr="00085D85" w:rsidRDefault="00085D85" w:rsidP="00085D85">
            <w:pPr>
              <w:pStyle w:val="TableContent"/>
              <w:rPr>
                <w:lang w:eastAsia="zh-CN"/>
              </w:rPr>
            </w:pPr>
            <w:r w:rsidRPr="00085D85">
              <w:rPr>
                <w:lang w:eastAsia="zh-CN"/>
              </w:rPr>
              <w:t>-60 mv</w:t>
            </w:r>
          </w:p>
        </w:tc>
      </w:tr>
    </w:tbl>
    <w:p w14:paraId="71500326" w14:textId="77777777" w:rsidR="008E6A8B" w:rsidRPr="00085D85" w:rsidRDefault="00085D85" w:rsidP="00085D85">
      <w:pPr>
        <w:rPr>
          <w:lang w:eastAsia="zh-CN"/>
        </w:rPr>
      </w:pPr>
      <w:r w:rsidRPr="00085D85">
        <w:rPr>
          <w:lang w:eastAsia="zh-CN"/>
        </w:rPr>
        <w:t>Neurons 1 and 2 are stimulated simultaneously. Will neuron 3 fire off and cause the muscle to contract?</w:t>
      </w:r>
    </w:p>
    <w:p w14:paraId="2595B288" w14:textId="77777777" w:rsidR="00283F45" w:rsidRDefault="00283F45" w:rsidP="00283F45">
      <w:pPr>
        <w:pStyle w:val="Heading1"/>
      </w:pPr>
      <w:r>
        <w:t>Source</w:t>
      </w:r>
    </w:p>
    <w:p w14:paraId="7AEECA45" w14:textId="77777777" w:rsidR="002B59C8" w:rsidRDefault="002B59C8" w:rsidP="002B59C8">
      <w:r>
        <w:t xml:space="preserve">Stencel, J. E. 1992. Using algorithms in solving synapse transmission problems: Teaching difficult concepts through a problem-solving approach. </w:t>
      </w:r>
      <w:r w:rsidRPr="00D12A25">
        <w:rPr>
          <w:i/>
        </w:rPr>
        <w:t>Journal of College Science Teaching Sept/Oct</w:t>
      </w:r>
      <w:r>
        <w:t>:55-57.</w:t>
      </w:r>
    </w:p>
    <w:p w14:paraId="35D2A21E" w14:textId="77777777" w:rsidR="008E6A8B" w:rsidRDefault="002B59C8" w:rsidP="002B59C8">
      <w:r>
        <w:t xml:space="preserve">Purves, W. K., G. H. Orians, H. C. Heller, and D. Sadava. 1998. </w:t>
      </w:r>
      <w:r w:rsidRPr="00D12A25">
        <w:rPr>
          <w:i/>
        </w:rPr>
        <w:t>Life: The Science of Biology (Fifth Edition)</w:t>
      </w:r>
      <w:r>
        <w:t>. Sinauer Associates, Sunderland, MA.</w:t>
      </w:r>
    </w:p>
    <w:p w14:paraId="6CA225D9" w14:textId="77777777" w:rsidR="00A207B5" w:rsidRPr="00283F45" w:rsidRDefault="00A207B5" w:rsidP="00283F45">
      <w:pPr>
        <w:pStyle w:val="Heading1"/>
      </w:pPr>
      <w:r w:rsidRPr="00283F45">
        <w:lastRenderedPageBreak/>
        <w:t>About this Resource</w:t>
      </w:r>
    </w:p>
    <w:p w14:paraId="2392E494"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 National Science Foundation Award DUE-9752339 to the University of Tennessee, Knoxville for August 1, 1998 - July 31, 2000. Principal Investigator: Louis J. Gross. Co-Principal Investigators: Beth C. Mullin and Susan E. Riechert.</w:t>
      </w:r>
    </w:p>
    <w:p w14:paraId="5557C739"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2382BE29"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BF650" w14:textId="77777777" w:rsidR="000C59C8" w:rsidRDefault="000C59C8" w:rsidP="00A207B5">
      <w:r>
        <w:separator/>
      </w:r>
    </w:p>
  </w:endnote>
  <w:endnote w:type="continuationSeparator" w:id="0">
    <w:p w14:paraId="5138EA05" w14:textId="77777777" w:rsidR="000C59C8" w:rsidRDefault="000C59C8" w:rsidP="00A207B5">
      <w:r>
        <w:continuationSeparator/>
      </w:r>
    </w:p>
  </w:endnote>
  <w:endnote w:id="1">
    <w:p w14:paraId="7C95FDAB" w14:textId="77777777" w:rsidR="00A207B5" w:rsidRDefault="00A207B5" w:rsidP="00A207B5">
      <w:pPr>
        <w:pStyle w:val="EndnoteText"/>
      </w:pPr>
      <w:r>
        <w:rPr>
          <w:rStyle w:val="EndnoteReference"/>
        </w:rPr>
        <w:endnoteRef/>
      </w:r>
      <w:r>
        <w:t xml:space="preserve"> http://www.tiem.utk.edu/~gross/bioed/</w:t>
      </w:r>
    </w:p>
  </w:endnote>
  <w:endnote w:id="2">
    <w:p w14:paraId="2131710D" w14:textId="77777777" w:rsidR="00A207B5" w:rsidRDefault="00A207B5" w:rsidP="00A207B5">
      <w:pPr>
        <w:pStyle w:val="EndnoteText"/>
      </w:pPr>
      <w:r>
        <w:rPr>
          <w:rStyle w:val="EndnoteReference"/>
        </w:rPr>
        <w:endnoteRef/>
      </w:r>
      <w:r>
        <w:t xml:space="preserve"> https://qubeshub.org/community/groups/quantbioatcc/</w:t>
      </w:r>
    </w:p>
  </w:endnote>
  <w:endnote w:id="3">
    <w:p w14:paraId="00CAB0CE"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7AED8156" w14:textId="0CE34B3C" w:rsidR="00A207B5" w:rsidRDefault="00A207B5" w:rsidP="00A207B5">
      <w:pPr>
        <w:pStyle w:val="EndnoteText"/>
      </w:pPr>
      <w:r>
        <w:rPr>
          <w:rStyle w:val="EndnoteReference"/>
        </w:rPr>
        <w:endnoteRef/>
      </w:r>
      <w:r>
        <w:t xml:space="preserve"> </w:t>
      </w:r>
      <w:r w:rsidRPr="00B50C5B">
        <w:t>https://qubeshub.org/qubesresources/publications/</w:t>
      </w:r>
      <w:r w:rsidR="007F6ED9">
        <w:t>1083</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78AF4" w14:textId="77777777" w:rsidR="000C59C8" w:rsidRDefault="000C59C8" w:rsidP="00A207B5">
      <w:r>
        <w:separator/>
      </w:r>
    </w:p>
  </w:footnote>
  <w:footnote w:type="continuationSeparator" w:id="0">
    <w:p w14:paraId="20E2AB3F" w14:textId="77777777" w:rsidR="000C59C8" w:rsidRDefault="000C59C8"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9D"/>
    <w:rsid w:val="00004B25"/>
    <w:rsid w:val="00085D85"/>
    <w:rsid w:val="000C59C8"/>
    <w:rsid w:val="000D79DD"/>
    <w:rsid w:val="001E2492"/>
    <w:rsid w:val="00283F45"/>
    <w:rsid w:val="002B59C8"/>
    <w:rsid w:val="003607A8"/>
    <w:rsid w:val="003B43A0"/>
    <w:rsid w:val="00461BD1"/>
    <w:rsid w:val="004736EE"/>
    <w:rsid w:val="004D0F19"/>
    <w:rsid w:val="004F68EB"/>
    <w:rsid w:val="00547F6C"/>
    <w:rsid w:val="00563BD7"/>
    <w:rsid w:val="005A544F"/>
    <w:rsid w:val="005B4B33"/>
    <w:rsid w:val="00621462"/>
    <w:rsid w:val="00683B29"/>
    <w:rsid w:val="00693047"/>
    <w:rsid w:val="007E7ACA"/>
    <w:rsid w:val="007F0B29"/>
    <w:rsid w:val="007F6ED9"/>
    <w:rsid w:val="00893506"/>
    <w:rsid w:val="00897E96"/>
    <w:rsid w:val="008A083D"/>
    <w:rsid w:val="008E6A8B"/>
    <w:rsid w:val="008F502C"/>
    <w:rsid w:val="009A5E1E"/>
    <w:rsid w:val="009D6B7C"/>
    <w:rsid w:val="009E2AFB"/>
    <w:rsid w:val="009F2F12"/>
    <w:rsid w:val="00A00F98"/>
    <w:rsid w:val="00A207B5"/>
    <w:rsid w:val="00AE6A9D"/>
    <w:rsid w:val="00B861B6"/>
    <w:rsid w:val="00BE3B85"/>
    <w:rsid w:val="00CD3585"/>
    <w:rsid w:val="00D12A25"/>
    <w:rsid w:val="00D56251"/>
    <w:rsid w:val="00D809C1"/>
    <w:rsid w:val="00DA032A"/>
    <w:rsid w:val="00DA5F52"/>
    <w:rsid w:val="00DB5A46"/>
    <w:rsid w:val="00DD5F2A"/>
    <w:rsid w:val="00EE6867"/>
    <w:rsid w:val="00F83317"/>
    <w:rsid w:val="00FC7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96CC07B"/>
  <w15:chartTrackingRefBased/>
  <w15:docId w15:val="{B19D2D99-CC8E-FD40-AC0D-34414361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semiHidden/>
    <w:unhideWhenUsed/>
    <w:rsid w:val="00FC754F"/>
    <w:pPr>
      <w:spacing w:before="100" w:beforeAutospacing="1" w:after="100" w:afterAutospacing="1" w:line="240" w:lineRule="auto"/>
    </w:pPr>
    <w:rPr>
      <w:color w:val="auto"/>
      <w:sz w:val="24"/>
      <w:szCs w:val="24"/>
      <w:lang w:eastAsia="zh-CN"/>
    </w:rPr>
  </w:style>
  <w:style w:type="paragraph" w:styleId="ListParagraph">
    <w:name w:val="List Paragraph"/>
    <w:basedOn w:val="Normal"/>
    <w:uiPriority w:val="34"/>
    <w:rsid w:val="00683B29"/>
    <w:pPr>
      <w:ind w:left="720"/>
      <w:contextualSpacing/>
    </w:pPr>
  </w:style>
  <w:style w:type="table" w:styleId="TableGrid">
    <w:name w:val="Table Grid"/>
    <w:basedOn w:val="TableNormal"/>
    <w:uiPriority w:val="39"/>
    <w:rsid w:val="005B4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4B33"/>
    <w:rPr>
      <w:color w:val="808080"/>
    </w:rPr>
  </w:style>
  <w:style w:type="paragraph" w:styleId="BalloonText">
    <w:name w:val="Balloon Text"/>
    <w:basedOn w:val="Normal"/>
    <w:link w:val="BalloonTextChar"/>
    <w:uiPriority w:val="99"/>
    <w:semiHidden/>
    <w:unhideWhenUsed/>
    <w:rsid w:val="007F6ED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F6ED9"/>
    <w:rPr>
      <w:rFonts w:ascii="Times New Roman" w:eastAsia="Times New Roman" w:hAnsi="Times New Roman" w:cs="Times New Roman"/>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8233">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682512573">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482578892">
      <w:bodyDiv w:val="1"/>
      <w:marLeft w:val="0"/>
      <w:marRight w:val="0"/>
      <w:marTop w:val="0"/>
      <w:marBottom w:val="0"/>
      <w:divBdr>
        <w:top w:val="none" w:sz="0" w:space="0" w:color="auto"/>
        <w:left w:val="none" w:sz="0" w:space="0" w:color="auto"/>
        <w:bottom w:val="none" w:sz="0" w:space="0" w:color="auto"/>
        <w:right w:val="none" w:sz="0" w:space="0" w:color="auto"/>
      </w:divBdr>
    </w:div>
    <w:div w:id="186941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9</TotalTime>
  <Pages>5</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34</cp:revision>
  <dcterms:created xsi:type="dcterms:W3CDTF">2018-12-31T00:28:00Z</dcterms:created>
  <dcterms:modified xsi:type="dcterms:W3CDTF">2019-02-15T04:37:00Z</dcterms:modified>
</cp:coreProperties>
</file>