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0B3C" w14:textId="77777777" w:rsidR="003559A7" w:rsidRPr="003559A7" w:rsidRDefault="003559A7" w:rsidP="003559A7">
      <w:pPr>
        <w:pStyle w:val="Title"/>
        <w:rPr>
          <w:lang w:eastAsia="zh-CN"/>
        </w:rPr>
      </w:pPr>
      <w:r>
        <w:rPr>
          <w:lang w:eastAsia="zh-CN"/>
        </w:rPr>
        <w:t>Tension in Blood Vessels: Laplace’s Equation</w:t>
      </w:r>
    </w:p>
    <w:p w14:paraId="04B8DF42" w14:textId="77777777" w:rsidR="003559A7" w:rsidRDefault="003559A7" w:rsidP="007E5626">
      <w:pPr>
        <w:pStyle w:val="Heading1"/>
        <w:rPr>
          <w:lang w:eastAsia="zh-CN"/>
        </w:rPr>
      </w:pPr>
      <w:r w:rsidRPr="003559A7">
        <w:rPr>
          <w:lang w:eastAsia="zh-CN"/>
        </w:rPr>
        <w:t>Introduction</w:t>
      </w:r>
    </w:p>
    <w:p w14:paraId="43598E2A" w14:textId="77777777" w:rsidR="003559A7" w:rsidRPr="003559A7" w:rsidRDefault="003559A7" w:rsidP="007E5626">
      <w:pPr>
        <w:rPr>
          <w:lang w:eastAsia="zh-CN"/>
        </w:rPr>
      </w:pPr>
      <w:r w:rsidRPr="003559A7">
        <w:rPr>
          <w:lang w:eastAsia="zh-CN"/>
        </w:rPr>
        <w:t>The closed circulatory system of vertebrates is composed of arteries, veins, and capillaries. Arteries are thick walled and carry blood away from the heart. Veins carry blood to the heart. Capillaries are small tubes that connect arterioles (small arteries) and venules (small veins).</w:t>
      </w:r>
    </w:p>
    <w:p w14:paraId="5DAFBB05" w14:textId="77777777" w:rsidR="003559A7" w:rsidRDefault="003559A7" w:rsidP="007E5626">
      <w:pPr>
        <w:pStyle w:val="Heading1"/>
        <w:rPr>
          <w:lang w:eastAsia="zh-CN"/>
        </w:rPr>
      </w:pPr>
      <w:r w:rsidRPr="003559A7">
        <w:rPr>
          <w:lang w:eastAsia="zh-CN"/>
        </w:rPr>
        <w:t>Importance</w:t>
      </w:r>
    </w:p>
    <w:p w14:paraId="39A69FE2" w14:textId="77777777" w:rsidR="003559A7" w:rsidRPr="003559A7" w:rsidRDefault="003559A7" w:rsidP="007E5626">
      <w:pPr>
        <w:rPr>
          <w:lang w:eastAsia="zh-CN"/>
        </w:rPr>
      </w:pPr>
      <w:r w:rsidRPr="003559A7">
        <w:rPr>
          <w:lang w:eastAsia="zh-CN"/>
        </w:rPr>
        <w:t xml:space="preserve">We can use an equation describing the tension in the wall of a hollow </w:t>
      </w:r>
      <w:r w:rsidR="007E5626" w:rsidRPr="003559A7">
        <w:rPr>
          <w:lang w:eastAsia="zh-CN"/>
        </w:rPr>
        <w:t>cylinder</w:t>
      </w:r>
      <w:r w:rsidRPr="003559A7">
        <w:rPr>
          <w:lang w:eastAsia="zh-CN"/>
        </w:rPr>
        <w:t xml:space="preserve"> in order to gather information about the construction of blood vessels and understand why the types of blood vessels differ in thickness and size.</w:t>
      </w:r>
    </w:p>
    <w:p w14:paraId="48507E9D" w14:textId="77777777" w:rsidR="003559A7" w:rsidRDefault="003559A7" w:rsidP="007E5626">
      <w:pPr>
        <w:pStyle w:val="Heading1"/>
        <w:rPr>
          <w:lang w:eastAsia="zh-CN"/>
        </w:rPr>
      </w:pPr>
      <w:r w:rsidRPr="003559A7">
        <w:rPr>
          <w:lang w:eastAsia="zh-CN"/>
        </w:rPr>
        <w:t>Question</w:t>
      </w:r>
      <w:r w:rsidR="00B75F65">
        <w:rPr>
          <w:lang w:eastAsia="zh-CN"/>
        </w:rPr>
        <w:t>s</w:t>
      </w:r>
    </w:p>
    <w:p w14:paraId="53161AE3" w14:textId="77777777" w:rsidR="003559A7" w:rsidRPr="003559A7" w:rsidRDefault="003559A7" w:rsidP="007E5626">
      <w:pPr>
        <w:rPr>
          <w:lang w:eastAsia="zh-CN"/>
        </w:rPr>
      </w:pPr>
      <w:r w:rsidRPr="003559A7">
        <w:rPr>
          <w:lang w:eastAsia="zh-CN"/>
        </w:rPr>
        <w:t>How does is the tension in the walls of blood vessels affected by their thickness and size? Does the size and thickness of blood vessels make sense considering their particular roles?</w:t>
      </w:r>
    </w:p>
    <w:p w14:paraId="121245BE" w14:textId="77777777" w:rsidR="003559A7" w:rsidRDefault="003559A7" w:rsidP="00813005">
      <w:pPr>
        <w:pStyle w:val="Heading1"/>
        <w:rPr>
          <w:lang w:eastAsia="zh-CN"/>
        </w:rPr>
      </w:pPr>
      <w:r w:rsidRPr="003559A7">
        <w:rPr>
          <w:lang w:eastAsia="zh-CN"/>
        </w:rPr>
        <w:t>Variables</w:t>
      </w:r>
    </w:p>
    <w:tbl>
      <w:tblPr>
        <w:tblW w:w="5670" w:type="dxa"/>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firstRow="1" w:lastRow="0" w:firstColumn="1" w:lastColumn="0" w:noHBand="0" w:noVBand="1"/>
      </w:tblPr>
      <w:tblGrid>
        <w:gridCol w:w="635"/>
        <w:gridCol w:w="5035"/>
      </w:tblGrid>
      <w:tr w:rsidR="007E5626" w:rsidRPr="00652596" w14:paraId="0687908A" w14:textId="77777777" w:rsidTr="007E5626">
        <w:trPr>
          <w:tblCellSpacing w:w="5" w:type="dxa"/>
        </w:trPr>
        <w:tc>
          <w:tcPr>
            <w:tcW w:w="547" w:type="pct"/>
            <w:hideMark/>
          </w:tcPr>
          <w:p w14:paraId="620A443E" w14:textId="77777777" w:rsidR="007E5626" w:rsidRPr="006A0EA6" w:rsidRDefault="007E5626" w:rsidP="00A91E07">
            <w:pPr>
              <w:spacing w:before="100" w:beforeAutospacing="1" w:after="100" w:afterAutospacing="1" w:line="240" w:lineRule="auto"/>
              <w:rPr>
                <w:sz w:val="24"/>
                <w:szCs w:val="24"/>
              </w:rPr>
            </w:pPr>
            <w:r w:rsidRPr="006A0EA6">
              <w:rPr>
                <w:sz w:val="24"/>
                <w:szCs w:val="24"/>
              </w:rPr>
              <w:t>T</w:t>
            </w:r>
          </w:p>
        </w:tc>
        <w:tc>
          <w:tcPr>
            <w:tcW w:w="4427" w:type="pct"/>
            <w:hideMark/>
          </w:tcPr>
          <w:p w14:paraId="3EE8DD88" w14:textId="77777777" w:rsidR="007E5626" w:rsidRPr="006A0EA6" w:rsidRDefault="007E5626" w:rsidP="00A91E07">
            <w:pPr>
              <w:spacing w:before="100" w:beforeAutospacing="1" w:after="100" w:afterAutospacing="1" w:line="240" w:lineRule="auto"/>
              <w:rPr>
                <w:sz w:val="24"/>
                <w:szCs w:val="24"/>
              </w:rPr>
            </w:pPr>
            <w:r w:rsidRPr="003559A7">
              <w:rPr>
                <w:color w:val="auto"/>
                <w:sz w:val="24"/>
                <w:szCs w:val="24"/>
                <w:lang w:eastAsia="zh-CN"/>
              </w:rPr>
              <w:t>tension in the blood vessel wall (kg/s</w:t>
            </w:r>
            <w:r w:rsidRPr="003559A7">
              <w:rPr>
                <w:color w:val="auto"/>
                <w:sz w:val="24"/>
                <w:szCs w:val="24"/>
                <w:vertAlign w:val="superscript"/>
                <w:lang w:eastAsia="zh-CN"/>
              </w:rPr>
              <w:t>2</w:t>
            </w:r>
            <w:r w:rsidR="006A0EA6" w:rsidRPr="006A0EA6">
              <w:rPr>
                <w:color w:val="auto"/>
                <w:sz w:val="24"/>
                <w:szCs w:val="24"/>
                <w:lang w:eastAsia="zh-CN"/>
              </w:rPr>
              <w:t>)</w:t>
            </w:r>
          </w:p>
        </w:tc>
      </w:tr>
      <w:tr w:rsidR="007E5626" w:rsidRPr="00652596" w14:paraId="66F46A15" w14:textId="77777777" w:rsidTr="007E5626">
        <w:trPr>
          <w:tblCellSpacing w:w="5" w:type="dxa"/>
        </w:trPr>
        <w:tc>
          <w:tcPr>
            <w:tcW w:w="547" w:type="pct"/>
            <w:hideMark/>
          </w:tcPr>
          <w:p w14:paraId="19C0A15A" w14:textId="77777777" w:rsidR="007E5626" w:rsidRPr="006A0EA6" w:rsidRDefault="006A0EA6" w:rsidP="007E5626">
            <w:pPr>
              <w:spacing w:before="100" w:beforeAutospacing="1" w:after="100" w:afterAutospacing="1" w:line="240" w:lineRule="auto"/>
              <w:rPr>
                <w:sz w:val="24"/>
                <w:szCs w:val="24"/>
              </w:rPr>
            </w:pPr>
            <w:r>
              <w:rPr>
                <w:sz w:val="24"/>
                <w:szCs w:val="24"/>
              </w:rPr>
              <w:t>r</w:t>
            </w:r>
          </w:p>
        </w:tc>
        <w:tc>
          <w:tcPr>
            <w:tcW w:w="4427" w:type="pct"/>
            <w:hideMark/>
          </w:tcPr>
          <w:p w14:paraId="0DFABB69" w14:textId="77777777" w:rsidR="007E5626" w:rsidRPr="003559A7" w:rsidRDefault="007E5626" w:rsidP="007E5626">
            <w:pPr>
              <w:spacing w:before="100" w:beforeAutospacing="1" w:after="100" w:afterAutospacing="1" w:line="240" w:lineRule="auto"/>
              <w:rPr>
                <w:color w:val="auto"/>
                <w:sz w:val="24"/>
                <w:szCs w:val="24"/>
                <w:lang w:eastAsia="zh-CN"/>
              </w:rPr>
            </w:pPr>
            <w:r w:rsidRPr="003559A7">
              <w:rPr>
                <w:color w:val="auto"/>
                <w:sz w:val="24"/>
                <w:szCs w:val="24"/>
                <w:lang w:eastAsia="zh-CN"/>
              </w:rPr>
              <w:t>radius of the blood vessel (mm)</w:t>
            </w:r>
          </w:p>
        </w:tc>
      </w:tr>
      <w:tr w:rsidR="007E5626" w:rsidRPr="00652596" w14:paraId="2C883BBB" w14:textId="77777777" w:rsidTr="007E5626">
        <w:trPr>
          <w:tblCellSpacing w:w="5" w:type="dxa"/>
        </w:trPr>
        <w:tc>
          <w:tcPr>
            <w:tcW w:w="547" w:type="pct"/>
            <w:hideMark/>
          </w:tcPr>
          <w:p w14:paraId="499697A5" w14:textId="77777777" w:rsidR="007E5626" w:rsidRPr="006A0EA6" w:rsidRDefault="006A0EA6" w:rsidP="007E5626">
            <w:pPr>
              <w:spacing w:before="100" w:beforeAutospacing="1" w:after="100" w:afterAutospacing="1" w:line="240" w:lineRule="auto"/>
              <w:rPr>
                <w:sz w:val="24"/>
                <w:szCs w:val="24"/>
              </w:rPr>
            </w:pPr>
            <w:r>
              <w:rPr>
                <w:sz w:val="24"/>
                <w:szCs w:val="24"/>
              </w:rPr>
              <w:t>p</w:t>
            </w:r>
          </w:p>
        </w:tc>
        <w:tc>
          <w:tcPr>
            <w:tcW w:w="4427" w:type="pct"/>
            <w:hideMark/>
          </w:tcPr>
          <w:p w14:paraId="314483FD" w14:textId="77777777" w:rsidR="007E5626" w:rsidRPr="003559A7" w:rsidRDefault="007E5626" w:rsidP="007E5626">
            <w:pPr>
              <w:spacing w:before="100" w:beforeAutospacing="1" w:after="100" w:afterAutospacing="1" w:line="240" w:lineRule="auto"/>
              <w:rPr>
                <w:color w:val="auto"/>
                <w:sz w:val="24"/>
                <w:szCs w:val="24"/>
                <w:lang w:eastAsia="zh-CN"/>
              </w:rPr>
            </w:pPr>
            <w:r w:rsidRPr="003559A7">
              <w:rPr>
                <w:color w:val="auto"/>
                <w:sz w:val="24"/>
                <w:szCs w:val="24"/>
                <w:lang w:eastAsia="zh-CN"/>
              </w:rPr>
              <w:t>pressure across the vessel wall (kPa)</w:t>
            </w:r>
          </w:p>
        </w:tc>
      </w:tr>
    </w:tbl>
    <w:p w14:paraId="01683EF8" w14:textId="77777777" w:rsidR="00813005" w:rsidRDefault="00813005" w:rsidP="00813005">
      <w:pPr>
        <w:rPr>
          <w:lang w:eastAsia="zh-CN"/>
        </w:rPr>
      </w:pPr>
    </w:p>
    <w:p w14:paraId="17444EE4" w14:textId="77777777" w:rsidR="003559A7" w:rsidRPr="00813005" w:rsidRDefault="003559A7" w:rsidP="00813005">
      <w:pPr>
        <w:pStyle w:val="Heading1"/>
      </w:pPr>
      <w:r w:rsidRPr="00813005">
        <w:t>Method</w:t>
      </w:r>
      <w:r w:rsidR="002D7E1F">
        <w:t>s</w:t>
      </w:r>
    </w:p>
    <w:p w14:paraId="32934D68" w14:textId="77777777" w:rsidR="003559A7" w:rsidRDefault="007E5626" w:rsidP="007E5626">
      <w:pPr>
        <w:rPr>
          <w:lang w:eastAsia="zh-CN"/>
        </w:rPr>
      </w:pPr>
      <w:r w:rsidRPr="003559A7">
        <w:rPr>
          <w:lang w:eastAsia="zh-CN"/>
        </w:rPr>
        <w:t>Laplace’s</w:t>
      </w:r>
      <w:r w:rsidR="003559A7" w:rsidRPr="003559A7">
        <w:rPr>
          <w:lang w:eastAsia="zh-CN"/>
        </w:rPr>
        <w:t xml:space="preserve"> equation assumes the tension (T) in the wall of a hollow </w:t>
      </w:r>
      <w:r w:rsidRPr="003559A7">
        <w:rPr>
          <w:lang w:eastAsia="zh-CN"/>
        </w:rPr>
        <w:t>cylinder</w:t>
      </w:r>
      <w:r w:rsidR="003559A7" w:rsidRPr="003559A7">
        <w:rPr>
          <w:lang w:eastAsia="zh-CN"/>
        </w:rPr>
        <w:t xml:space="preserve"> is directly proportional to the </w:t>
      </w:r>
      <w:r w:rsidRPr="003559A7">
        <w:rPr>
          <w:lang w:eastAsia="zh-CN"/>
        </w:rPr>
        <w:t>cylinder’s</w:t>
      </w:r>
      <w:r w:rsidR="003559A7" w:rsidRPr="003559A7">
        <w:rPr>
          <w:lang w:eastAsia="zh-CN"/>
        </w:rPr>
        <w:t xml:space="preserve"> radius (r) and the pressure (p) across the wall caused by the flow inside: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3005" w14:paraId="0849A33C" w14:textId="77777777" w:rsidTr="0039691B">
        <w:tc>
          <w:tcPr>
            <w:tcW w:w="4675" w:type="dxa"/>
          </w:tcPr>
          <w:p w14:paraId="580D662F" w14:textId="77777777" w:rsidR="00813005" w:rsidRDefault="00813005" w:rsidP="00813005">
            <w:pPr>
              <w:jc w:val="center"/>
              <w:rPr>
                <w:lang w:eastAsia="zh-CN"/>
              </w:rPr>
            </w:pPr>
            <m:oMathPara>
              <m:oMath>
                <m:r>
                  <w:rPr>
                    <w:rFonts w:ascii="Cambria Math" w:hAnsi="Cambria Math"/>
                    <w:lang w:eastAsia="zh-CN"/>
                  </w:rPr>
                  <m:t>T=p×r</m:t>
                </m:r>
              </m:oMath>
            </m:oMathPara>
          </w:p>
        </w:tc>
        <w:tc>
          <w:tcPr>
            <w:tcW w:w="4675" w:type="dxa"/>
          </w:tcPr>
          <w:p w14:paraId="151601A4" w14:textId="77777777" w:rsidR="00813005" w:rsidRDefault="0039691B" w:rsidP="00813005">
            <w:pPr>
              <w:jc w:val="center"/>
              <w:rPr>
                <w:lang w:eastAsia="zh-CN"/>
              </w:rPr>
            </w:pPr>
            <w:r>
              <w:rPr>
                <w:lang w:eastAsia="zh-CN"/>
              </w:rPr>
              <w:t xml:space="preserve">LaTeX Code: </w:t>
            </w:r>
            <w:proofErr w:type="gramStart"/>
            <w:r w:rsidRPr="0039691B">
              <w:rPr>
                <w:lang w:eastAsia="zh-CN"/>
              </w:rPr>
              <w:t>\[</w:t>
            </w:r>
            <w:proofErr w:type="gramEnd"/>
            <w:r w:rsidRPr="0039691B">
              <w:rPr>
                <w:lang w:eastAsia="zh-CN"/>
              </w:rPr>
              <w:t xml:space="preserve"> T = p \times r \]</w:t>
            </w:r>
          </w:p>
        </w:tc>
      </w:tr>
    </w:tbl>
    <w:p w14:paraId="0C07E02F" w14:textId="77777777" w:rsidR="003559A7" w:rsidRPr="003559A7" w:rsidRDefault="003559A7" w:rsidP="003559A7">
      <w:pPr>
        <w:spacing w:before="100" w:beforeAutospacing="1" w:after="100" w:afterAutospacing="1" w:line="240" w:lineRule="auto"/>
        <w:rPr>
          <w:rFonts w:ascii="Times" w:hAnsi="Times"/>
          <w:lang w:eastAsia="zh-CN"/>
        </w:rPr>
      </w:pPr>
      <w:r w:rsidRPr="003559A7">
        <w:rPr>
          <w:rFonts w:ascii="Times" w:hAnsi="Times"/>
          <w:lang w:eastAsia="zh-CN"/>
        </w:rPr>
        <w:t xml:space="preserve">We can assess properties concerning the thickness and size of veins and arteries by using </w:t>
      </w:r>
      <w:r w:rsidR="007E5626" w:rsidRPr="003559A7">
        <w:rPr>
          <w:rFonts w:ascii="Times" w:hAnsi="Times"/>
          <w:lang w:eastAsia="zh-CN"/>
        </w:rPr>
        <w:t>Laplace’s</w:t>
      </w:r>
      <w:r w:rsidRPr="003559A7">
        <w:rPr>
          <w:rFonts w:ascii="Times" w:hAnsi="Times"/>
          <w:lang w:eastAsia="zh-CN"/>
        </w:rPr>
        <w:t xml:space="preserve"> equation. We will plot T as a linear function of r for different values of p.</w:t>
      </w:r>
    </w:p>
    <w:p w14:paraId="25302512" w14:textId="77777777" w:rsidR="003559A7" w:rsidRPr="003559A7" w:rsidRDefault="003559A7" w:rsidP="003559A7">
      <w:pPr>
        <w:spacing w:before="100" w:beforeAutospacing="1" w:after="100" w:afterAutospacing="1" w:line="240" w:lineRule="auto"/>
        <w:jc w:val="center"/>
        <w:rPr>
          <w:rFonts w:ascii="Times" w:hAnsi="Times"/>
          <w:lang w:eastAsia="zh-CN"/>
        </w:rPr>
      </w:pPr>
      <w:r w:rsidRPr="003559A7">
        <w:rPr>
          <w:rFonts w:ascii="Times" w:hAnsi="Times"/>
          <w:lang w:eastAsia="zh-CN"/>
        </w:rPr>
        <w:lastRenderedPageBreak/>
        <w:fldChar w:fldCharType="begin"/>
      </w:r>
      <w:r w:rsidRPr="003559A7">
        <w:rPr>
          <w:rFonts w:ascii="Times" w:hAnsi="Times"/>
          <w:lang w:eastAsia="zh-CN"/>
        </w:rPr>
        <w:instrText xml:space="preserve"> INCLUDEPICTURE "http://www.tiem.utk.edu/~gross/bioed/webmodules/tensionblood.gif" \* MERGEFORMATINET </w:instrText>
      </w:r>
      <w:r w:rsidRPr="003559A7">
        <w:rPr>
          <w:rFonts w:ascii="Times" w:hAnsi="Times"/>
          <w:lang w:eastAsia="zh-CN"/>
        </w:rPr>
        <w:fldChar w:fldCharType="separate"/>
      </w:r>
      <w:r w:rsidRPr="003559A7">
        <w:rPr>
          <w:rFonts w:ascii="Times" w:hAnsi="Times"/>
          <w:noProof/>
          <w:lang w:eastAsia="zh-CN"/>
        </w:rPr>
        <w:drawing>
          <wp:inline distT="0" distB="0" distL="0" distR="0" wp14:anchorId="2F84862E" wp14:editId="79F497A9">
            <wp:extent cx="3657600" cy="3565168"/>
            <wp:effectExtent l="0" t="0" r="0" b="3810"/>
            <wp:docPr id="4" name="Picture 4" descr="http://www.tiem.utk.edu/~gross/bioed/webmodules/tensionbl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iem.utk.edu/~gross/bioed/webmodules/tensionbloo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565168"/>
                    </a:xfrm>
                    <a:prstGeom prst="rect">
                      <a:avLst/>
                    </a:prstGeom>
                    <a:noFill/>
                    <a:ln>
                      <a:noFill/>
                    </a:ln>
                  </pic:spPr>
                </pic:pic>
              </a:graphicData>
            </a:graphic>
          </wp:inline>
        </w:drawing>
      </w:r>
      <w:r w:rsidRPr="003559A7">
        <w:rPr>
          <w:rFonts w:ascii="Times" w:hAnsi="Times"/>
          <w:lang w:eastAsia="zh-CN"/>
        </w:rPr>
        <w:fldChar w:fldCharType="end"/>
      </w:r>
    </w:p>
    <w:p w14:paraId="430AEDA5" w14:textId="77777777" w:rsidR="003559A7" w:rsidRDefault="003559A7" w:rsidP="007E5626">
      <w:pPr>
        <w:pStyle w:val="Heading1"/>
        <w:rPr>
          <w:lang w:eastAsia="zh-CN"/>
        </w:rPr>
      </w:pPr>
      <w:r w:rsidRPr="003559A7">
        <w:rPr>
          <w:lang w:eastAsia="zh-CN"/>
        </w:rPr>
        <w:t>Interpretation</w:t>
      </w:r>
      <w:r w:rsidR="00F533EE">
        <w:rPr>
          <w:lang w:eastAsia="zh-CN"/>
        </w:rPr>
        <w:t>s</w:t>
      </w:r>
    </w:p>
    <w:p w14:paraId="154B9F12" w14:textId="77777777" w:rsidR="003559A7" w:rsidRPr="003559A7" w:rsidRDefault="003559A7" w:rsidP="007E5626">
      <w:pPr>
        <w:rPr>
          <w:lang w:eastAsia="zh-CN"/>
        </w:rPr>
      </w:pPr>
      <w:r w:rsidRPr="003559A7">
        <w:rPr>
          <w:lang w:eastAsia="zh-CN"/>
        </w:rPr>
        <w:t xml:space="preserve">For a given blood pressure, increasing the radius of the </w:t>
      </w:r>
      <w:r w:rsidR="0039691B" w:rsidRPr="003559A7">
        <w:rPr>
          <w:lang w:eastAsia="zh-CN"/>
        </w:rPr>
        <w:t>cylinder</w:t>
      </w:r>
      <w:r w:rsidRPr="003559A7">
        <w:rPr>
          <w:lang w:eastAsia="zh-CN"/>
        </w:rPr>
        <w:t xml:space="preserve"> leads to a linear increase in tension. This implies that large arteries must have thicker walls than small arteries in order to withstand the level of tension.</w:t>
      </w:r>
    </w:p>
    <w:p w14:paraId="11223DFF" w14:textId="77777777" w:rsidR="003559A7" w:rsidRPr="003559A7" w:rsidRDefault="003559A7" w:rsidP="007E5626">
      <w:pPr>
        <w:rPr>
          <w:lang w:eastAsia="zh-CN"/>
        </w:rPr>
      </w:pPr>
      <w:r w:rsidRPr="003559A7">
        <w:rPr>
          <w:lang w:eastAsia="zh-CN"/>
        </w:rPr>
        <w:t xml:space="preserve">Notice that as we increase the pressure (p) we increase the slope of the line. For a given radius (r), </w:t>
      </w:r>
      <w:r w:rsidR="0039691B" w:rsidRPr="003559A7">
        <w:rPr>
          <w:lang w:eastAsia="zh-CN"/>
        </w:rPr>
        <w:t>cylinders</w:t>
      </w:r>
      <w:r w:rsidRPr="003559A7">
        <w:rPr>
          <w:lang w:eastAsia="zh-CN"/>
        </w:rPr>
        <w:t xml:space="preserve"> carrying a higher pressure of flow also have higher tension. We can extend this idea to similar sized veins and arteries. Arteries must have thicker walls than veins because they carry much higher blood pressure.</w:t>
      </w:r>
    </w:p>
    <w:p w14:paraId="69B12BE9" w14:textId="77777777" w:rsidR="003559A7" w:rsidRPr="003559A7" w:rsidRDefault="003559A7" w:rsidP="007E5626">
      <w:pPr>
        <w:rPr>
          <w:lang w:eastAsia="zh-CN"/>
        </w:rPr>
      </w:pPr>
      <w:r w:rsidRPr="003559A7">
        <w:rPr>
          <w:lang w:eastAsia="zh-CN"/>
        </w:rPr>
        <w:t>Capillaries also carry high blood pressure, but unlike arteries, capillary walls are thin. This is because their small size leads to a reduced level of tension so that thick walls are not necessary.</w:t>
      </w:r>
    </w:p>
    <w:p w14:paraId="4CEE8666" w14:textId="77777777" w:rsidR="003559A7" w:rsidRDefault="003559A7" w:rsidP="007E5626">
      <w:pPr>
        <w:pStyle w:val="Heading1"/>
        <w:rPr>
          <w:lang w:eastAsia="zh-CN"/>
        </w:rPr>
      </w:pPr>
      <w:r w:rsidRPr="003559A7">
        <w:rPr>
          <w:lang w:eastAsia="zh-CN"/>
        </w:rPr>
        <w:t>Conclusion</w:t>
      </w:r>
      <w:r w:rsidR="00F533EE">
        <w:rPr>
          <w:lang w:eastAsia="zh-CN"/>
        </w:rPr>
        <w:t>s</w:t>
      </w:r>
    </w:p>
    <w:p w14:paraId="75A6E173" w14:textId="77777777" w:rsidR="003559A7" w:rsidRPr="003559A7" w:rsidRDefault="003559A7" w:rsidP="007E5626">
      <w:pPr>
        <w:rPr>
          <w:lang w:eastAsia="zh-CN"/>
        </w:rPr>
      </w:pPr>
      <w:r w:rsidRPr="003559A7">
        <w:rPr>
          <w:lang w:eastAsia="zh-CN"/>
        </w:rPr>
        <w:t xml:space="preserve">A simple equation quantifying the tension in the walls of a </w:t>
      </w:r>
      <w:r w:rsidR="007E5626" w:rsidRPr="003559A7">
        <w:rPr>
          <w:lang w:eastAsia="zh-CN"/>
        </w:rPr>
        <w:t>cylinder</w:t>
      </w:r>
      <w:r w:rsidRPr="003559A7">
        <w:rPr>
          <w:lang w:eastAsia="zh-CN"/>
        </w:rPr>
        <w:t xml:space="preserve"> can be related to blood vessels. Properties of this relationship helps us understand the variable thickness of arteries, veins, and capillaries.</w:t>
      </w:r>
    </w:p>
    <w:p w14:paraId="1E23F649" w14:textId="77777777" w:rsidR="007E5626" w:rsidRDefault="003559A7" w:rsidP="007E5626">
      <w:pPr>
        <w:pStyle w:val="Heading1"/>
        <w:rPr>
          <w:lang w:eastAsia="zh-CN"/>
        </w:rPr>
      </w:pPr>
      <w:r w:rsidRPr="003559A7">
        <w:rPr>
          <w:lang w:eastAsia="zh-CN"/>
        </w:rPr>
        <w:t>Source</w:t>
      </w:r>
      <w:r w:rsidR="003436CE">
        <w:rPr>
          <w:lang w:eastAsia="zh-CN"/>
        </w:rPr>
        <w:t>s</w:t>
      </w:r>
    </w:p>
    <w:p w14:paraId="64AC0B96" w14:textId="77777777" w:rsidR="003559A7" w:rsidRPr="003559A7" w:rsidRDefault="003559A7" w:rsidP="003559A7">
      <w:pPr>
        <w:spacing w:before="100" w:beforeAutospacing="1" w:after="100" w:afterAutospacing="1" w:line="240" w:lineRule="auto"/>
        <w:rPr>
          <w:rFonts w:ascii="Times" w:hAnsi="Times"/>
          <w:lang w:eastAsia="zh-CN"/>
        </w:rPr>
      </w:pPr>
      <w:r w:rsidRPr="003559A7">
        <w:rPr>
          <w:rFonts w:ascii="Times" w:hAnsi="Times"/>
          <w:lang w:eastAsia="zh-CN"/>
        </w:rPr>
        <w:lastRenderedPageBreak/>
        <w:t xml:space="preserve">Schmidt-Nielsen, K. 1990, </w:t>
      </w:r>
      <w:r w:rsidRPr="003559A7">
        <w:rPr>
          <w:rFonts w:ascii="Times" w:hAnsi="Times"/>
          <w:i/>
          <w:lang w:eastAsia="zh-CN"/>
        </w:rPr>
        <w:t>Animal Physiology: Adaptation and environment</w:t>
      </w:r>
      <w:r w:rsidRPr="003559A7">
        <w:rPr>
          <w:rFonts w:ascii="Times" w:hAnsi="Times"/>
          <w:lang w:eastAsia="zh-CN"/>
        </w:rPr>
        <w:t>, Cambridge University Press, Cambridge</w:t>
      </w:r>
    </w:p>
    <w:p w14:paraId="374554C1" w14:textId="77777777" w:rsidR="00A207B5" w:rsidRPr="00283F45" w:rsidRDefault="00A207B5" w:rsidP="00283F45">
      <w:pPr>
        <w:pStyle w:val="Heading1"/>
      </w:pPr>
      <w:r w:rsidRPr="00283F45">
        <w:t>About this Resource</w:t>
      </w:r>
    </w:p>
    <w:p w14:paraId="79D15317"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6E6D9788"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7D5B381C"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7797" w14:textId="77777777" w:rsidR="00F97CB0" w:rsidRDefault="00F97CB0" w:rsidP="00A207B5">
      <w:r>
        <w:separator/>
      </w:r>
    </w:p>
  </w:endnote>
  <w:endnote w:type="continuationSeparator" w:id="0">
    <w:p w14:paraId="75673B23" w14:textId="77777777" w:rsidR="00F97CB0" w:rsidRDefault="00F97CB0" w:rsidP="00A207B5">
      <w:r>
        <w:continuationSeparator/>
      </w:r>
    </w:p>
  </w:endnote>
  <w:endnote w:id="1">
    <w:p w14:paraId="03CD2F64" w14:textId="77777777" w:rsidR="00A207B5" w:rsidRDefault="00A207B5" w:rsidP="00A207B5">
      <w:pPr>
        <w:pStyle w:val="EndnoteText"/>
      </w:pPr>
      <w:r>
        <w:rPr>
          <w:rStyle w:val="EndnoteReference"/>
        </w:rPr>
        <w:endnoteRef/>
      </w:r>
      <w:r>
        <w:t xml:space="preserve"> http://www.tiem.utk.edu/~gross/bioed/</w:t>
      </w:r>
    </w:p>
  </w:endnote>
  <w:endnote w:id="2">
    <w:p w14:paraId="719FCE7D" w14:textId="77777777" w:rsidR="00A207B5" w:rsidRDefault="00A207B5" w:rsidP="00A207B5">
      <w:pPr>
        <w:pStyle w:val="EndnoteText"/>
      </w:pPr>
      <w:r>
        <w:rPr>
          <w:rStyle w:val="EndnoteReference"/>
        </w:rPr>
        <w:endnoteRef/>
      </w:r>
      <w:r>
        <w:t xml:space="preserve"> https://qubeshub.org/community/groups/quantbioatcc/</w:t>
      </w:r>
    </w:p>
  </w:endnote>
  <w:endnote w:id="3">
    <w:p w14:paraId="1AC19656"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0FB11DB6" w14:textId="08D97110" w:rsidR="00A207B5" w:rsidRDefault="00A207B5" w:rsidP="00A207B5">
      <w:pPr>
        <w:pStyle w:val="EndnoteText"/>
      </w:pPr>
      <w:r>
        <w:rPr>
          <w:rStyle w:val="EndnoteReference"/>
        </w:rPr>
        <w:endnoteRef/>
      </w:r>
      <w:r>
        <w:t xml:space="preserve"> </w:t>
      </w:r>
      <w:r w:rsidRPr="00B50C5B">
        <w:t>https://qubeshub.org/qubesresources/publications/</w:t>
      </w:r>
      <w:r w:rsidR="00D6580C">
        <w:t>1084</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A500" w14:textId="77777777" w:rsidR="00F97CB0" w:rsidRDefault="00F97CB0" w:rsidP="00A207B5">
      <w:r>
        <w:separator/>
      </w:r>
    </w:p>
  </w:footnote>
  <w:footnote w:type="continuationSeparator" w:id="0">
    <w:p w14:paraId="7B0B8BD9" w14:textId="77777777" w:rsidR="00F97CB0" w:rsidRDefault="00F97CB0"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A7"/>
    <w:rsid w:val="00120C7C"/>
    <w:rsid w:val="001E2492"/>
    <w:rsid w:val="00283F45"/>
    <w:rsid w:val="002D7E1F"/>
    <w:rsid w:val="003436CE"/>
    <w:rsid w:val="003559A7"/>
    <w:rsid w:val="003607A8"/>
    <w:rsid w:val="003700D1"/>
    <w:rsid w:val="0039691B"/>
    <w:rsid w:val="003B3147"/>
    <w:rsid w:val="00621462"/>
    <w:rsid w:val="006A0EA6"/>
    <w:rsid w:val="007E5626"/>
    <w:rsid w:val="007F0B29"/>
    <w:rsid w:val="00813005"/>
    <w:rsid w:val="00893506"/>
    <w:rsid w:val="00897E96"/>
    <w:rsid w:val="00A207B5"/>
    <w:rsid w:val="00B75F65"/>
    <w:rsid w:val="00CD3585"/>
    <w:rsid w:val="00D05E6E"/>
    <w:rsid w:val="00D6580C"/>
    <w:rsid w:val="00DB5A46"/>
    <w:rsid w:val="00F533EE"/>
    <w:rsid w:val="00F9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FB87"/>
  <w15:chartTrackingRefBased/>
  <w15:docId w15:val="{097EC501-3F31-E640-B57E-FDC22A4A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3559A7"/>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81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3005"/>
    <w:rPr>
      <w:color w:val="808080"/>
    </w:rPr>
  </w:style>
  <w:style w:type="paragraph" w:styleId="BalloonText">
    <w:name w:val="Balloon Text"/>
    <w:basedOn w:val="Normal"/>
    <w:link w:val="BalloonTextChar"/>
    <w:uiPriority w:val="99"/>
    <w:semiHidden/>
    <w:unhideWhenUsed/>
    <w:rsid w:val="00D6580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6580C"/>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0698">
      <w:bodyDiv w:val="1"/>
      <w:marLeft w:val="0"/>
      <w:marRight w:val="0"/>
      <w:marTop w:val="0"/>
      <w:marBottom w:val="0"/>
      <w:divBdr>
        <w:top w:val="none" w:sz="0" w:space="0" w:color="auto"/>
        <w:left w:val="none" w:sz="0" w:space="0" w:color="auto"/>
        <w:bottom w:val="none" w:sz="0" w:space="0" w:color="auto"/>
        <w:right w:val="none" w:sz="0" w:space="0" w:color="auto"/>
      </w:divBdr>
    </w:div>
    <w:div w:id="114764069">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309214640">
      <w:bodyDiv w:val="1"/>
      <w:marLeft w:val="0"/>
      <w:marRight w:val="0"/>
      <w:marTop w:val="0"/>
      <w:marBottom w:val="0"/>
      <w:divBdr>
        <w:top w:val="none" w:sz="0" w:space="0" w:color="auto"/>
        <w:left w:val="none" w:sz="0" w:space="0" w:color="auto"/>
        <w:bottom w:val="none" w:sz="0" w:space="0" w:color="auto"/>
        <w:right w:val="none" w:sz="0" w:space="0" w:color="auto"/>
      </w:divBdr>
    </w:div>
    <w:div w:id="1330787192">
      <w:bodyDiv w:val="1"/>
      <w:marLeft w:val="0"/>
      <w:marRight w:val="0"/>
      <w:marTop w:val="0"/>
      <w:marBottom w:val="0"/>
      <w:divBdr>
        <w:top w:val="none" w:sz="0" w:space="0" w:color="auto"/>
        <w:left w:val="none" w:sz="0" w:space="0" w:color="auto"/>
        <w:bottom w:val="none" w:sz="0" w:space="0" w:color="auto"/>
        <w:right w:val="none" w:sz="0" w:space="0" w:color="auto"/>
      </w:divBdr>
    </w:div>
    <w:div w:id="1442066154">
      <w:bodyDiv w:val="1"/>
      <w:marLeft w:val="0"/>
      <w:marRight w:val="0"/>
      <w:marTop w:val="0"/>
      <w:marBottom w:val="0"/>
      <w:divBdr>
        <w:top w:val="none" w:sz="0" w:space="0" w:color="auto"/>
        <w:left w:val="none" w:sz="0" w:space="0" w:color="auto"/>
        <w:bottom w:val="none" w:sz="0" w:space="0" w:color="auto"/>
        <w:right w:val="none" w:sz="0" w:space="0" w:color="auto"/>
      </w:divBdr>
    </w:div>
    <w:div w:id="21174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16</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10</cp:revision>
  <dcterms:created xsi:type="dcterms:W3CDTF">2018-12-19T09:02:00Z</dcterms:created>
  <dcterms:modified xsi:type="dcterms:W3CDTF">2019-02-15T04:41:00Z</dcterms:modified>
</cp:coreProperties>
</file>