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38E" w:rsidRDefault="00C2631C">
      <w:pPr>
        <w:jc w:val="center"/>
        <w:rPr>
          <w:rFonts w:ascii="Helvetica Neue" w:eastAsia="Helvetica Neue" w:hAnsi="Helvetica Neue" w:cs="Helvetica Neue"/>
          <w:sz w:val="28"/>
          <w:szCs w:val="28"/>
        </w:rPr>
      </w:pPr>
      <w:bookmarkStart w:id="0" w:name="_GoBack"/>
      <w:bookmarkEnd w:id="0"/>
      <w:r>
        <w:rPr>
          <w:rFonts w:ascii="Helvetica Neue" w:eastAsia="Helvetica Neue" w:hAnsi="Helvetica Neue" w:cs="Helvetica Neue"/>
          <w:sz w:val="28"/>
          <w:szCs w:val="28"/>
        </w:rPr>
        <w:t>Sickle Cell Disease Case Study</w:t>
      </w:r>
    </w:p>
    <w:p w:rsidR="00AE638E" w:rsidRDefault="00C2631C">
      <w:pPr>
        <w:jc w:val="center"/>
        <w:rPr>
          <w:rFonts w:ascii="Helvetica Neue" w:eastAsia="Helvetica Neue" w:hAnsi="Helvetica Neue" w:cs="Helvetica Neue"/>
          <w:sz w:val="28"/>
          <w:szCs w:val="28"/>
        </w:rPr>
      </w:pPr>
      <w:r>
        <w:rPr>
          <w:rFonts w:ascii="Helvetica Neue" w:eastAsia="Helvetica Neue" w:hAnsi="Helvetica Neue" w:cs="Helvetica Neue"/>
          <w:sz w:val="28"/>
          <w:szCs w:val="28"/>
        </w:rPr>
        <w:t>Educator Document</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b/>
        </w:rPr>
        <w:t>Teach time:</w:t>
      </w:r>
      <w:r>
        <w:rPr>
          <w:rFonts w:ascii="Helvetica Neue" w:eastAsia="Helvetica Neue" w:hAnsi="Helvetica Neue" w:cs="Helvetica Neue"/>
        </w:rPr>
        <w:t xml:space="preserve"> One 50-minute class period, or broken up into two 25-30 minute segments.</w:t>
      </w:r>
    </w:p>
    <w:p w:rsidR="00AE638E" w:rsidRDefault="00AE638E">
      <w:pPr>
        <w:rPr>
          <w:rFonts w:ascii="Helvetica Neue" w:eastAsia="Helvetica Neue" w:hAnsi="Helvetica Neue" w:cs="Helvetica Neue"/>
        </w:rPr>
      </w:pPr>
    </w:p>
    <w:p w:rsidR="00AE638E" w:rsidRDefault="00C2631C">
      <w:pPr>
        <w:shd w:val="clear" w:color="auto" w:fill="FFFFFF"/>
        <w:spacing w:after="180" w:line="324" w:lineRule="auto"/>
        <w:rPr>
          <w:rFonts w:ascii="Helvetica Neue" w:eastAsia="Helvetica Neue" w:hAnsi="Helvetica Neue" w:cs="Helvetica Neue"/>
          <w:color w:val="333333"/>
        </w:rPr>
      </w:pPr>
      <w:r>
        <w:rPr>
          <w:rFonts w:ascii="Helvetica Neue" w:eastAsia="Helvetica Neue" w:hAnsi="Helvetica Neue" w:cs="Helvetica Neue"/>
          <w:b/>
          <w:color w:val="333333"/>
        </w:rPr>
        <w:t xml:space="preserve">Overview: </w:t>
      </w:r>
      <w:r>
        <w:rPr>
          <w:rFonts w:ascii="Helvetica Neue" w:eastAsia="Helvetica Neue" w:hAnsi="Helvetica Neue" w:cs="Helvetica Neue"/>
          <w:color w:val="333333"/>
        </w:rPr>
        <w:t xml:space="preserve">This activity complements the 1-minute video </w:t>
      </w:r>
      <w:r>
        <w:rPr>
          <w:rFonts w:ascii="Helvetica Neue" w:eastAsia="Helvetica Neue" w:hAnsi="Helvetica Neue" w:cs="Helvetica Neue"/>
          <w:i/>
          <w:color w:val="333333"/>
        </w:rPr>
        <w:t>Sickle Cell Disease</w:t>
      </w:r>
      <w:r>
        <w:rPr>
          <w:rFonts w:ascii="Helvetica Neue" w:eastAsia="Helvetica Neue" w:hAnsi="Helvetica Neue" w:cs="Helvetica Neue"/>
          <w:color w:val="333333"/>
        </w:rPr>
        <w:t>. Students explore the biology of the disease as well as the mechanisms behind two therapeutics being tested phase 1 and 2 in clinical trials in 2019. There is an additional video on Sickle Cell Disease clinical trials that could be a nice way to introduce</w:t>
      </w:r>
      <w:r>
        <w:rPr>
          <w:rFonts w:ascii="Helvetica Neue" w:eastAsia="Helvetica Neue" w:hAnsi="Helvetica Neue" w:cs="Helvetica Neue"/>
          <w:color w:val="333333"/>
        </w:rPr>
        <w:t xml:space="preserve"> part II or conclude the activity (put in vimeo link).</w:t>
      </w:r>
    </w:p>
    <w:p w:rsidR="00AE638E" w:rsidRDefault="00C2631C">
      <w:pPr>
        <w:rPr>
          <w:rFonts w:ascii="Helvetica Neue" w:eastAsia="Helvetica Neue" w:hAnsi="Helvetica Neue" w:cs="Helvetica Neue"/>
          <w:b/>
        </w:rPr>
      </w:pPr>
      <w:r>
        <w:rPr>
          <w:rFonts w:ascii="Helvetica Neue" w:eastAsia="Helvetica Neue" w:hAnsi="Helvetica Neue" w:cs="Helvetica Neue"/>
          <w:b/>
        </w:rPr>
        <w:t xml:space="preserve">Key Concepts: </w:t>
      </w:r>
    </w:p>
    <w:p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 xml:space="preserve">Protein shape is intrinsically tied to protein function. Protein shape is influenced by ligand binding as well as environmental effects.  </w:t>
      </w:r>
    </w:p>
    <w:p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Red blood cells are small cells mostly filled w</w:t>
      </w:r>
      <w:r>
        <w:rPr>
          <w:rFonts w:ascii="Helvetica Neue" w:eastAsia="Helvetica Neue" w:hAnsi="Helvetica Neue" w:cs="Helvetica Neue"/>
        </w:rPr>
        <w:t>ith hemoglobin</w:t>
      </w:r>
    </w:p>
    <w:p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Small blood vessels are only slightly larger than red blood cells, when red blood cells take on an irregular shape, they may not fit through smaller vessels</w:t>
      </w:r>
    </w:p>
    <w:p w:rsidR="00AE638E" w:rsidRDefault="00C2631C">
      <w:pPr>
        <w:numPr>
          <w:ilvl w:val="0"/>
          <w:numId w:val="3"/>
        </w:numPr>
        <w:rPr>
          <w:rFonts w:ascii="Helvetica Neue" w:eastAsia="Helvetica Neue" w:hAnsi="Helvetica Neue" w:cs="Helvetica Neue"/>
        </w:rPr>
      </w:pPr>
      <w:r>
        <w:rPr>
          <w:rFonts w:ascii="Helvetica Neue" w:eastAsia="Helvetica Neue" w:hAnsi="Helvetica Neue" w:cs="Helvetica Neue"/>
        </w:rPr>
        <w:t>Hemoglobin affinity for oxygen is influenced by environmental conditions</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b/>
        </w:rPr>
      </w:pPr>
      <w:r>
        <w:rPr>
          <w:rFonts w:ascii="Helvetica Neue" w:eastAsia="Helvetica Neue" w:hAnsi="Helvetica Neue" w:cs="Helvetica Neue"/>
          <w:b/>
        </w:rPr>
        <w:t xml:space="preserve">Suggested </w:t>
      </w:r>
      <w:r>
        <w:rPr>
          <w:rFonts w:ascii="Helvetica Neue" w:eastAsia="Helvetica Neue" w:hAnsi="Helvetica Neue" w:cs="Helvetica Neue"/>
          <w:b/>
        </w:rPr>
        <w:t>audience:</w:t>
      </w:r>
    </w:p>
    <w:p w:rsidR="00AE638E" w:rsidRDefault="00C2631C">
      <w:pPr>
        <w:numPr>
          <w:ilvl w:val="0"/>
          <w:numId w:val="4"/>
        </w:numPr>
        <w:rPr>
          <w:rFonts w:ascii="Helvetica Neue" w:eastAsia="Helvetica Neue" w:hAnsi="Helvetica Neue" w:cs="Helvetica Neue"/>
        </w:rPr>
      </w:pPr>
      <w:r>
        <w:rPr>
          <w:rFonts w:ascii="Helvetica Neue" w:eastAsia="Helvetica Neue" w:hAnsi="Helvetica Neue" w:cs="Helvetica Neue"/>
        </w:rPr>
        <w:t>Undergraduate (200-300 level) physiology or A&amp;P students</w:t>
      </w:r>
    </w:p>
    <w:p w:rsidR="00AE638E" w:rsidRDefault="00C2631C">
      <w:pPr>
        <w:numPr>
          <w:ilvl w:val="0"/>
          <w:numId w:val="4"/>
        </w:numPr>
        <w:rPr>
          <w:rFonts w:ascii="Helvetica Neue" w:eastAsia="Helvetica Neue" w:hAnsi="Helvetica Neue" w:cs="Helvetica Neue"/>
        </w:rPr>
      </w:pPr>
      <w:r>
        <w:rPr>
          <w:rFonts w:ascii="Helvetica Neue" w:eastAsia="Helvetica Neue" w:hAnsi="Helvetica Neue" w:cs="Helvetica Neue"/>
        </w:rPr>
        <w:t>Could be modified for Introductory Biology students, question 10 could be omitted if hemoglobin saturation curve is not covered in your class.  Questions 8 and 9 could be omitted if hematop</w:t>
      </w:r>
      <w:r>
        <w:rPr>
          <w:rFonts w:ascii="Helvetica Neue" w:eastAsia="Helvetica Neue" w:hAnsi="Helvetica Neue" w:cs="Helvetica Neue"/>
        </w:rPr>
        <w:t>oiesis is not covered and question 11 could be modified or omitted depending on the students’ understanding of the immune response</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b/>
        </w:rPr>
      </w:pPr>
      <w:r>
        <w:rPr>
          <w:rFonts w:ascii="Helvetica Neue" w:eastAsia="Helvetica Neue" w:hAnsi="Helvetica Neue" w:cs="Helvetica Neue"/>
          <w:b/>
        </w:rPr>
        <w:t>Student Learning Outcomes:</w:t>
      </w:r>
    </w:p>
    <w:p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Interpret the hemoglobin saturation curve and Bohr effect</w:t>
      </w:r>
    </w:p>
    <w:p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Explain the difference and connection b</w:t>
      </w:r>
      <w:r>
        <w:rPr>
          <w:rFonts w:ascii="Helvetica Neue" w:eastAsia="Helvetica Neue" w:hAnsi="Helvetica Neue" w:cs="Helvetica Neue"/>
        </w:rPr>
        <w:t>etween hemoglobin mutation (genetics) and the change in protein and cell shape</w:t>
      </w:r>
    </w:p>
    <w:p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Describe the connection between the concepts of ligand-binding-induced conformational change and the exacerbation of SCD symptoms during oxygen stress</w:t>
      </w:r>
    </w:p>
    <w:p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Describe how the risk fact</w:t>
      </w:r>
      <w:r>
        <w:rPr>
          <w:rFonts w:ascii="Helvetica Neue" w:eastAsia="Helvetica Neue" w:hAnsi="Helvetica Neue" w:cs="Helvetica Neue"/>
        </w:rPr>
        <w:t>ors, symptoms and complications of SCD have to do with protein and cell shapes</w:t>
      </w:r>
    </w:p>
    <w:p w:rsidR="00AE638E" w:rsidRDefault="00C2631C">
      <w:pPr>
        <w:numPr>
          <w:ilvl w:val="0"/>
          <w:numId w:val="5"/>
        </w:numPr>
        <w:rPr>
          <w:rFonts w:ascii="Helvetica Neue" w:eastAsia="Helvetica Neue" w:hAnsi="Helvetica Neue" w:cs="Helvetica Neue"/>
        </w:rPr>
      </w:pPr>
      <w:r>
        <w:rPr>
          <w:rFonts w:ascii="Helvetica Neue" w:eastAsia="Helvetica Neue" w:hAnsi="Helvetica Neue" w:cs="Helvetica Neue"/>
        </w:rPr>
        <w:t>Apply biology concepts to fundamentals of gene therapy and potential complications</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b/>
        </w:rPr>
      </w:pPr>
      <w:r>
        <w:rPr>
          <w:rFonts w:ascii="Helvetica Neue" w:eastAsia="Helvetica Neue" w:hAnsi="Helvetica Neue" w:cs="Helvetica Neue"/>
          <w:b/>
        </w:rPr>
        <w:t xml:space="preserve">Prior knowledge: </w:t>
      </w:r>
    </w:p>
    <w:p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t>Hemoglobin affinity for oxygen and its saturation curve</w:t>
      </w:r>
    </w:p>
    <w:p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t>Terms hydrophobic and hydrophilic and membrane transport dynamics</w:t>
      </w:r>
    </w:p>
    <w:p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t>Red blood cell life cycle</w:t>
      </w:r>
    </w:p>
    <w:p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t xml:space="preserve">Very basic idea of the immune system response (secondary responses) </w:t>
      </w:r>
    </w:p>
    <w:p w:rsidR="00AE638E" w:rsidRDefault="00C2631C">
      <w:pPr>
        <w:numPr>
          <w:ilvl w:val="0"/>
          <w:numId w:val="2"/>
        </w:numPr>
        <w:rPr>
          <w:rFonts w:ascii="Helvetica Neue" w:eastAsia="Helvetica Neue" w:hAnsi="Helvetica Neue" w:cs="Helvetica Neue"/>
        </w:rPr>
      </w:pPr>
      <w:r>
        <w:rPr>
          <w:rFonts w:ascii="Helvetica Neue" w:eastAsia="Helvetica Neue" w:hAnsi="Helvetica Neue" w:cs="Helvetica Neue"/>
        </w:rPr>
        <w:lastRenderedPageBreak/>
        <w:t xml:space="preserve">Basic understand of virus action (delivery of viral genes) </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b/>
        </w:rPr>
      </w:pPr>
      <w:r>
        <w:rPr>
          <w:rFonts w:ascii="Helvetica Neue" w:eastAsia="Helvetica Neue" w:hAnsi="Helvetica Neue" w:cs="Helvetica Neue"/>
          <w:b/>
        </w:rPr>
        <w:t>Teaching tips:</w:t>
      </w:r>
    </w:p>
    <w:p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This activity can w</w:t>
      </w:r>
      <w:r>
        <w:rPr>
          <w:rFonts w:ascii="Helvetica Neue" w:eastAsia="Helvetica Neue" w:hAnsi="Helvetica Neue" w:cs="Helvetica Neue"/>
        </w:rPr>
        <w:t>ork in a small classroom or a large lecture hall.</w:t>
      </w:r>
    </w:p>
    <w:p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 xml:space="preserve">This activity could be done as homework, but we recommend the students be able to discuss with each other either in person or online as some of these questions involve tying together complex concepts.  </w:t>
      </w:r>
    </w:p>
    <w:p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 xml:space="preserve">We </w:t>
      </w:r>
      <w:r>
        <w:rPr>
          <w:rFonts w:ascii="Helvetica Neue" w:eastAsia="Helvetica Neue" w:hAnsi="Helvetica Neue" w:cs="Helvetica Neue"/>
        </w:rPr>
        <w:t>strongly recommend that you have checkpoints in which answers are given and misconceptions addressed.  This can be done in a few ways:</w:t>
      </w:r>
    </w:p>
    <w:p w:rsidR="00AE638E" w:rsidRDefault="00C2631C">
      <w:pPr>
        <w:numPr>
          <w:ilvl w:val="1"/>
          <w:numId w:val="7"/>
        </w:numPr>
        <w:rPr>
          <w:rFonts w:ascii="Helvetica Neue" w:eastAsia="Helvetica Neue" w:hAnsi="Helvetica Neue" w:cs="Helvetica Neue"/>
        </w:rPr>
      </w:pPr>
      <w:r>
        <w:rPr>
          <w:rFonts w:ascii="Helvetica Neue" w:eastAsia="Helvetica Neue" w:hAnsi="Helvetica Neue" w:cs="Helvetica Neue"/>
        </w:rPr>
        <w:t>IF/AT immediate response cards (</w:t>
      </w:r>
      <w:hyperlink r:id="rId5">
        <w:r>
          <w:rPr>
            <w:rFonts w:ascii="Helvetica Neue" w:eastAsia="Helvetica Neue" w:hAnsi="Helvetica Neue" w:cs="Helvetica Neue"/>
            <w:color w:val="1155CC"/>
            <w:u w:val="single"/>
          </w:rPr>
          <w:t>http://www.epsteineducatio</w:t>
        </w:r>
        <w:r>
          <w:rPr>
            <w:rFonts w:ascii="Helvetica Neue" w:eastAsia="Helvetica Neue" w:hAnsi="Helvetica Neue" w:cs="Helvetica Neue"/>
            <w:color w:val="1155CC"/>
            <w:u w:val="single"/>
          </w:rPr>
          <w:t>n.com/home/about/</w:t>
        </w:r>
      </w:hyperlink>
      <w:r>
        <w:rPr>
          <w:rFonts w:ascii="Helvetica Neue" w:eastAsia="Helvetica Neue" w:hAnsi="Helvetica Neue" w:cs="Helvetica Neue"/>
        </w:rPr>
        <w:t>)</w:t>
      </w:r>
    </w:p>
    <w:p w:rsidR="00AE638E" w:rsidRDefault="00C2631C">
      <w:pPr>
        <w:numPr>
          <w:ilvl w:val="1"/>
          <w:numId w:val="7"/>
        </w:numPr>
        <w:rPr>
          <w:rFonts w:ascii="Helvetica Neue" w:eastAsia="Helvetica Neue" w:hAnsi="Helvetica Neue" w:cs="Helvetica Neue"/>
        </w:rPr>
      </w:pPr>
      <w:r>
        <w:rPr>
          <w:rFonts w:ascii="Helvetica Neue" w:eastAsia="Helvetica Neue" w:hAnsi="Helvetica Neue" w:cs="Helvetica Neue"/>
        </w:rPr>
        <w:t>Make each question a clicker question and discuss after each one</w:t>
      </w:r>
    </w:p>
    <w:p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The two places for open response can be discussed in class or submitted as open response questions.</w:t>
      </w:r>
    </w:p>
    <w:p w:rsidR="00AE638E" w:rsidRDefault="00C2631C">
      <w:pPr>
        <w:numPr>
          <w:ilvl w:val="0"/>
          <w:numId w:val="7"/>
        </w:numPr>
        <w:rPr>
          <w:rFonts w:ascii="Helvetica Neue" w:eastAsia="Helvetica Neue" w:hAnsi="Helvetica Neue" w:cs="Helvetica Neue"/>
        </w:rPr>
      </w:pPr>
      <w:r>
        <w:rPr>
          <w:rFonts w:ascii="Helvetica Neue" w:eastAsia="Helvetica Neue" w:hAnsi="Helvetica Neue" w:cs="Helvetica Neue"/>
        </w:rPr>
        <w:t xml:space="preserve">In smaller classrooms, more of the questions could be converted to open </w:t>
      </w:r>
      <w:r>
        <w:rPr>
          <w:rFonts w:ascii="Helvetica Neue" w:eastAsia="Helvetica Neue" w:hAnsi="Helvetica Neue" w:cs="Helvetica Neue"/>
        </w:rPr>
        <w:t>response and the hemoglobin saturation graph could be drawn by the students, rather than presented as a multiple choice question</w:t>
      </w:r>
    </w:p>
    <w:p w:rsidR="00AE638E" w:rsidRDefault="00AE638E">
      <w:pPr>
        <w:rPr>
          <w:rFonts w:ascii="Helvetica Neue" w:eastAsia="Helvetica Neue" w:hAnsi="Helvetica Neue" w:cs="Helvetica Neue"/>
        </w:rPr>
      </w:pP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rPr>
        <w:t>Answers:</w:t>
      </w: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D--The three-dimensional shape of a protein is determined by interactions among the protein’s amino acids.  Environm</w:t>
      </w:r>
      <w:r>
        <w:rPr>
          <w:rFonts w:ascii="Helvetica Neue" w:eastAsia="Helvetica Neue" w:hAnsi="Helvetica Neue" w:cs="Helvetica Neue"/>
        </w:rPr>
        <w:t>ental factors can change the likelihood of bonding among the amino acids and therefore influence the protein shape.  In addition, when a ligand binds, it may draw or repel amino acids away from the binding site, causing a shape change as well.  This is a g</w:t>
      </w:r>
      <w:r>
        <w:rPr>
          <w:rFonts w:ascii="Helvetica Neue" w:eastAsia="Helvetica Neue" w:hAnsi="Helvetica Neue" w:cs="Helvetica Neue"/>
        </w:rPr>
        <w:t>ood moment to remind your students of these biochemical basics, because (as we will see in question 5) ligand binding can influence the change in hemoglobin shape seen in sickle cell disease).</w:t>
      </w: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C--hydrophobic molecules are lonely in aqueous solutions and t</w:t>
      </w:r>
      <w:r>
        <w:rPr>
          <w:rFonts w:ascii="Helvetica Neue" w:eastAsia="Helvetica Neue" w:hAnsi="Helvetica Neue" w:cs="Helvetica Neue"/>
        </w:rPr>
        <w:t>end to clump to exclude water. The intracellular fluid is an aqueous solution and two exposed hydrophobic regions on nearby proteins will be drawn together. This leads to aggregation of hemoglobin in sickle cell disease and ties into question 4.  You could</w:t>
      </w:r>
      <w:r>
        <w:rPr>
          <w:rFonts w:ascii="Helvetica Neue" w:eastAsia="Helvetica Neue" w:hAnsi="Helvetica Neue" w:cs="Helvetica Neue"/>
        </w:rPr>
        <w:t xml:space="preserve"> show this image at this time (</w:t>
      </w:r>
      <w:r>
        <w:t xml:space="preserve">Image obtained from: Central Dogma and Genetic Medicine at </w:t>
      </w:r>
      <w:hyperlink r:id="rId6">
        <w:r>
          <w:rPr>
            <w:color w:val="954F72"/>
            <w:u w:val="single"/>
          </w:rPr>
          <w:t>https://www.hhmi.org/biointeractive/central-dogma-and-genetic-medicine</w:t>
        </w:r>
      </w:hyperlink>
      <w:r>
        <w:rPr>
          <w:rFonts w:ascii="Helvetica Neue" w:eastAsia="Helvetica Neue" w:hAnsi="Helvetica Neue" w:cs="Helvetica Neue"/>
        </w:rPr>
        <w:t xml:space="preserve">): </w:t>
      </w:r>
    </w:p>
    <w:p w:rsidR="00AE638E" w:rsidRDefault="00AE638E">
      <w:pPr>
        <w:rPr>
          <w:rFonts w:ascii="Helvetica Neue" w:eastAsia="Helvetica Neue" w:hAnsi="Helvetica Neue" w:cs="Helvetica Neue"/>
        </w:rPr>
      </w:pPr>
    </w:p>
    <w:p w:rsidR="00AE638E" w:rsidRDefault="00C2631C">
      <w:pPr>
        <w:ind w:left="720"/>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extent cx="4343400" cy="857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4423" t="32167" r="12500" b="46853"/>
                    <a:stretch>
                      <a:fillRect/>
                    </a:stretch>
                  </pic:blipFill>
                  <pic:spPr>
                    <a:xfrm>
                      <a:off x="0" y="0"/>
                      <a:ext cx="4343400" cy="857250"/>
                    </a:xfrm>
                    <a:prstGeom prst="rect">
                      <a:avLst/>
                    </a:prstGeom>
                    <a:ln/>
                  </pic:spPr>
                </pic:pic>
              </a:graphicData>
            </a:graphic>
          </wp:inline>
        </w:drawing>
      </w: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A--Sickle cell hemoglobin clumps and healthy hemoglobin doesn’t because of the change from a polar/hydrophilic amino acid to a non-polar hydrophobic one.</w:t>
      </w:r>
    </w:p>
    <w:p w:rsidR="00AE638E" w:rsidRDefault="00AE638E">
      <w:pPr>
        <w:ind w:left="720"/>
        <w:rPr>
          <w:rFonts w:ascii="Helvetica Neue" w:eastAsia="Helvetica Neue" w:hAnsi="Helvetica Neue" w:cs="Helvetica Neue"/>
        </w:rPr>
      </w:pPr>
    </w:p>
    <w:p w:rsidR="00AE638E" w:rsidRDefault="00AE638E">
      <w:pPr>
        <w:ind w:left="720"/>
        <w:rPr>
          <w:rFonts w:ascii="Helvetica Neue" w:eastAsia="Helvetica Neue" w:hAnsi="Helvetica Neue" w:cs="Helvetica Neue"/>
        </w:rPr>
      </w:pPr>
    </w:p>
    <w:p w:rsidR="00AE638E" w:rsidRDefault="00AE638E">
      <w:pPr>
        <w:ind w:left="720"/>
        <w:rPr>
          <w:rFonts w:ascii="Helvetica Neue" w:eastAsia="Helvetica Neue" w:hAnsi="Helvetica Neue" w:cs="Helvetica Neue"/>
        </w:rPr>
      </w:pPr>
    </w:p>
    <w:p w:rsidR="00AE638E" w:rsidRDefault="00AE638E">
      <w:pPr>
        <w:ind w:left="720"/>
        <w:rPr>
          <w:rFonts w:ascii="Helvetica Neue" w:eastAsia="Helvetica Neue" w:hAnsi="Helvetica Neue" w:cs="Helvetica Neue"/>
        </w:rPr>
      </w:pPr>
    </w:p>
    <w:p w:rsidR="00AE638E" w:rsidRDefault="00AE638E">
      <w:pPr>
        <w:ind w:left="720"/>
        <w:rPr>
          <w:rFonts w:ascii="Helvetica Neue" w:eastAsia="Helvetica Neue" w:hAnsi="Helvetica Neue" w:cs="Helvetica Neue"/>
        </w:rPr>
      </w:pPr>
    </w:p>
    <w:p w:rsidR="00AE638E" w:rsidRDefault="00AE638E">
      <w:pPr>
        <w:ind w:left="720"/>
        <w:rPr>
          <w:rFonts w:ascii="Helvetica Neue" w:eastAsia="Helvetica Neue" w:hAnsi="Helvetica Neue" w:cs="Helvetica Neue"/>
        </w:rPr>
      </w:pP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 xml:space="preserve">A--The increased hydrophobicity of the mutated protein causes the proteins to aggregate together in fibers. It could be useful to show this TEM image (Image obtained from: The making of the fittest: natural selection in humans found here: </w:t>
      </w:r>
      <w:hyperlink r:id="rId8">
        <w:r>
          <w:rPr>
            <w:rFonts w:ascii="Helvetica Neue" w:eastAsia="Helvetica Neue" w:hAnsi="Helvetica Neue" w:cs="Helvetica Neue"/>
            <w:color w:val="1155CC"/>
            <w:u w:val="single"/>
          </w:rPr>
          <w:t>https://www.hhmi.org/biointeractive/how-do-fibers-form</w:t>
        </w:r>
      </w:hyperlink>
      <w:r>
        <w:rPr>
          <w:rFonts w:ascii="Helvetica Neue" w:eastAsia="Helvetica Neue" w:hAnsi="Helvetica Neue" w:cs="Helvetica Neue"/>
        </w:rPr>
        <w:t>). Courtesy of Thomas E. Wellems and Robert Josephs.  University of Chicago.</w:t>
      </w:r>
    </w:p>
    <w:p w:rsidR="00AE638E" w:rsidRDefault="00C2631C">
      <w:pPr>
        <w:ind w:left="720"/>
        <w:rPr>
          <w:rFonts w:ascii="Helvetica Neue" w:eastAsia="Helvetica Neue" w:hAnsi="Helvetica Neue" w:cs="Helvetica Neue"/>
          <w:highlight w:val="yellow"/>
        </w:rPr>
      </w:pPr>
      <w:r>
        <w:rPr>
          <w:rFonts w:ascii="Helvetica Neue" w:eastAsia="Helvetica Neue" w:hAnsi="Helvetica Neue" w:cs="Helvetica Neue"/>
          <w:noProof/>
        </w:rPr>
        <w:drawing>
          <wp:inline distT="114300" distB="114300" distL="114300" distR="114300">
            <wp:extent cx="3005138" cy="35631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005138" cy="3563138"/>
                    </a:xfrm>
                    <a:prstGeom prst="rect">
                      <a:avLst/>
                    </a:prstGeom>
                    <a:ln/>
                  </pic:spPr>
                </pic:pic>
              </a:graphicData>
            </a:graphic>
          </wp:inline>
        </w:drawing>
      </w:r>
      <w:r>
        <w:rPr>
          <w:rFonts w:ascii="Helvetica Neue" w:eastAsia="Helvetica Neue" w:hAnsi="Helvetica Neue" w:cs="Helvetica Neue"/>
        </w:rPr>
        <w:t xml:space="preserve"> </w:t>
      </w: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D--Ligand binding can induce shape changes in proteins.  In sickle cell disease, hypoxia exacerbates hemoglobin polymerization.  The polymerization is reversible when oxygen conditions improve, but each time that significant polymerization occurs it puts s</w:t>
      </w:r>
      <w:r>
        <w:rPr>
          <w:rFonts w:ascii="Helvetica Neue" w:eastAsia="Helvetica Neue" w:hAnsi="Helvetica Neue" w:cs="Helvetica Neue"/>
        </w:rPr>
        <w:t xml:space="preserve">train on the RBC membrane.  After several polymerization events, the membrane is permanently altered.  Soon the red blood cell will be removed from circulation by the spleen or liver, leading to a reduction in hematocrit.  This application makes for great </w:t>
      </w:r>
      <w:r>
        <w:rPr>
          <w:rFonts w:ascii="Helvetica Neue" w:eastAsia="Helvetica Neue" w:hAnsi="Helvetica Neue" w:cs="Helvetica Neue"/>
        </w:rPr>
        <w:t xml:space="preserve">extension of the knowledge or follow-up questions. </w:t>
      </w:r>
    </w:p>
    <w:p w:rsidR="00AE638E" w:rsidRDefault="00C2631C">
      <w:pPr>
        <w:ind w:left="720"/>
        <w:rPr>
          <w:rFonts w:ascii="Helvetica Neue" w:eastAsia="Helvetica Neue" w:hAnsi="Helvetica Neue" w:cs="Helvetica Neue"/>
        </w:rPr>
      </w:pPr>
      <w:r>
        <w:br w:type="page"/>
      </w: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B--Here the video is useful in illustrating this phenomenon. You can follow up with this image if it is useful (</w:t>
      </w:r>
      <w:r>
        <w:t xml:space="preserve">Image obtained from: Central Dogma and Genetic Medicine at </w:t>
      </w:r>
      <w:hyperlink r:id="rId10">
        <w:r>
          <w:rPr>
            <w:color w:val="954F72"/>
            <w:u w:val="single"/>
          </w:rPr>
          <w:t>https://www.hhmi.org/biointeractive/central-dogma-and-genetic-medicine</w:t>
        </w:r>
      </w:hyperlink>
      <w:r>
        <w:rPr>
          <w:rFonts w:ascii="Helvetica Neue" w:eastAsia="Helvetica Neue" w:hAnsi="Helvetica Neue" w:cs="Helvetica Neue"/>
        </w:rPr>
        <w:t xml:space="preserve">): </w:t>
      </w:r>
    </w:p>
    <w:p w:rsidR="00AE638E" w:rsidRDefault="00C2631C">
      <w:pPr>
        <w:ind w:left="720"/>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extent cx="4852988" cy="20810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006" t="33333" r="4807" b="9790"/>
                    <a:stretch>
                      <a:fillRect/>
                    </a:stretch>
                  </pic:blipFill>
                  <pic:spPr>
                    <a:xfrm>
                      <a:off x="0" y="0"/>
                      <a:ext cx="4852988" cy="2081070"/>
                    </a:xfrm>
                    <a:prstGeom prst="rect">
                      <a:avLst/>
                    </a:prstGeom>
                    <a:ln/>
                  </pic:spPr>
                </pic:pic>
              </a:graphicData>
            </a:graphic>
          </wp:inline>
        </w:drawing>
      </w: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A--Here we bring it back to the good old central dogma.  When we talk about a disease state in physiology we are often t</w:t>
      </w:r>
      <w:r>
        <w:rPr>
          <w:rFonts w:ascii="Helvetica Neue" w:eastAsia="Helvetica Neue" w:hAnsi="Helvetica Neue" w:cs="Helvetica Neue"/>
        </w:rPr>
        <w:t>alking about symptoms that are far downstream of the cause, this question brings them back to the cause.</w:t>
      </w: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B--DNA cannot cross the membrane, if it could our cells would leak DNA all the time! Viruses are essentially genetic material delivery devices by natur</w:t>
      </w:r>
      <w:r>
        <w:rPr>
          <w:rFonts w:ascii="Helvetica Neue" w:eastAsia="Helvetica Neue" w:hAnsi="Helvetica Neue" w:cs="Helvetica Neue"/>
        </w:rPr>
        <w:t xml:space="preserve">e and are often used in gene therapy approaches.  One of the limits to gene therapy is getting a large amount of DNA into a cell, this is what makes Thomas’s trial so interesting, it was previously thought to be impossible to deliver an entire gene.  This </w:t>
      </w:r>
      <w:r>
        <w:rPr>
          <w:rFonts w:ascii="Helvetica Neue" w:eastAsia="Helvetica Neue" w:hAnsi="Helvetica Neue" w:cs="Helvetica Neue"/>
        </w:rPr>
        <w:t>trial, by Bluebird Bio, uses a lentivirus to deliver the entire adult hemoglobin gene.</w:t>
      </w: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A--Red blood cells are anuclear, and therefore only carry hemoglobin proteins that were made during cell development.  In order for the new gene to make protein, it mus</w:t>
      </w:r>
      <w:r>
        <w:rPr>
          <w:rFonts w:ascii="Helvetica Neue" w:eastAsia="Helvetica Neue" w:hAnsi="Helvetica Neue" w:cs="Helvetica Neue"/>
        </w:rPr>
        <w:t>t get into hematopoietic stem cells that give rise to adult RBCs.</w:t>
      </w: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B--Hematopoietic stem cells reside only in the bone marrow.</w:t>
      </w:r>
    </w:p>
    <w:p w:rsidR="00AE638E" w:rsidRDefault="00AE638E">
      <w:pPr>
        <w:ind w:left="720"/>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rPr>
        <w:t>Open response: Because these two therapies are currently in clinical trial, we do not know the long-term outcomes of each approa</w:t>
      </w:r>
      <w:r>
        <w:rPr>
          <w:rFonts w:ascii="Helvetica Neue" w:eastAsia="Helvetica Neue" w:hAnsi="Helvetica Neue" w:cs="Helvetica Neue"/>
        </w:rPr>
        <w:t>ch (or even if they will work!).  One often cited concern about Thomas’s clinical trial, run by a company called Bluebird Bio is that the hemoglobin gene is fairly large, and the lentivirus cannot control where in the genome the virus will insert the Hb ge</w:t>
      </w:r>
      <w:r>
        <w:rPr>
          <w:rFonts w:ascii="Helvetica Neue" w:eastAsia="Helvetica Neue" w:hAnsi="Helvetica Neue" w:cs="Helvetica Neue"/>
        </w:rPr>
        <w:t>ne.  This means that the gene could be inserted into other genes, disrupting their function.  One concern with Rhonda’s trial, run by the companies Biovertiv and Sanofi, is that if a female starts to express fetal hemoglobin, it could complicate oxygen tra</w:t>
      </w:r>
      <w:r>
        <w:rPr>
          <w:rFonts w:ascii="Helvetica Neue" w:eastAsia="Helvetica Neue" w:hAnsi="Helvetica Neue" w:cs="Helvetica Neue"/>
        </w:rPr>
        <w:t>nsfer between mother and fetus if this woman ever becomes pregnant.  This concept could make for a good extension activity. Again these trials are currently in early phases in children, it could be a long time before we get answers to these questions.</w:t>
      </w:r>
    </w:p>
    <w:p w:rsidR="00AE638E" w:rsidRDefault="00AE638E">
      <w:pPr>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lastRenderedPageBreak/>
        <w:t>A--</w:t>
      </w:r>
      <w:r>
        <w:rPr>
          <w:rFonts w:ascii="Helvetica Neue" w:eastAsia="Helvetica Neue" w:hAnsi="Helvetica Neue" w:cs="Helvetica Neue"/>
        </w:rPr>
        <w:t>This question drives home the understanding of the hemoglobin saturation curve.  The further to the left the curve, the higher the affinity of hemoglobin for oxygen.  This has implications in terms of delivery of oxygen to the tissues that need it.</w:t>
      </w: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A--this</w:t>
      </w:r>
      <w:r>
        <w:rPr>
          <w:rFonts w:ascii="Helvetica Neue" w:eastAsia="Helvetica Neue" w:hAnsi="Helvetica Neue" w:cs="Helvetica Neue"/>
        </w:rPr>
        <w:t xml:space="preserve"> question serves to reinforce your students’ understanding of the Bohr effect. If you teach in smaller classes, I’d recommend making this a drawing, but if you need it to be multiple choice for grading purposes, I’ve added that answer as well.  Decreased p</w:t>
      </w:r>
      <w:r>
        <w:rPr>
          <w:rFonts w:ascii="Helvetica Neue" w:eastAsia="Helvetica Neue" w:hAnsi="Helvetica Neue" w:cs="Helvetica Neue"/>
        </w:rPr>
        <w:t>H and/or increased pCO</w:t>
      </w:r>
      <w:r>
        <w:rPr>
          <w:rFonts w:ascii="Helvetica Neue" w:eastAsia="Helvetica Neue" w:hAnsi="Helvetica Neue" w:cs="Helvetica Neue"/>
          <w:vertAlign w:val="subscript"/>
        </w:rPr>
        <w:t>2</w:t>
      </w:r>
      <w:r>
        <w:rPr>
          <w:rFonts w:ascii="Helvetica Neue" w:eastAsia="Helvetica Neue" w:hAnsi="Helvetica Neue" w:cs="Helvetica Neue"/>
        </w:rPr>
        <w:t xml:space="preserve"> will shift the oxygen dissociation curve to the right (decreasing hemoglobin’s affinity for oxygen).  </w:t>
      </w: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 xml:space="preserve">C--This question is designed to bring the students back to the concepts of hydrophobicity and molecular interaction.  The fetal </w:t>
      </w:r>
      <w:r>
        <w:rPr>
          <w:rFonts w:ascii="Helvetica Neue" w:eastAsia="Helvetica Neue" w:hAnsi="Helvetica Neue" w:cs="Helvetica Neue"/>
        </w:rPr>
        <w:t xml:space="preserve">hemoglobin molecules will interrupt the hydrophobic attraction between the adult hemoglobin molecules. This occurs naturally in some individuals (called Hereditary Persistence of Fetal Hemoglobin) and predicts an improved clinical outcome (Wang and Thein, </w:t>
      </w:r>
      <w:r>
        <w:rPr>
          <w:rFonts w:ascii="Helvetica Neue" w:eastAsia="Helvetica Neue" w:hAnsi="Helvetica Neue" w:cs="Helvetica Neue"/>
        </w:rPr>
        <w:t>2018).</w:t>
      </w:r>
    </w:p>
    <w:p w:rsidR="00AE638E" w:rsidRDefault="00AE638E">
      <w:pPr>
        <w:ind w:left="720"/>
        <w:rPr>
          <w:rFonts w:ascii="Helvetica Neue" w:eastAsia="Helvetica Neue" w:hAnsi="Helvetica Neue" w:cs="Helvetica Neue"/>
        </w:rPr>
      </w:pPr>
    </w:p>
    <w:p w:rsidR="00AE638E" w:rsidRDefault="00C2631C">
      <w:pPr>
        <w:numPr>
          <w:ilvl w:val="0"/>
          <w:numId w:val="6"/>
        </w:numPr>
        <w:rPr>
          <w:rFonts w:ascii="Helvetica Neue" w:eastAsia="Helvetica Neue" w:hAnsi="Helvetica Neue" w:cs="Helvetica Neue"/>
        </w:rPr>
      </w:pPr>
      <w:r>
        <w:rPr>
          <w:rFonts w:ascii="Helvetica Neue" w:eastAsia="Helvetica Neue" w:hAnsi="Helvetica Neue" w:cs="Helvetica Neue"/>
        </w:rPr>
        <w:t>D--This question targets the students’ understanding of the immune system.  The first delivery of the virus/gene therapy is most successful because the immune system is mounting a primary response against the virus.  Upon second delivery, the immun</w:t>
      </w:r>
      <w:r>
        <w:rPr>
          <w:rFonts w:ascii="Helvetica Neue" w:eastAsia="Helvetica Neue" w:hAnsi="Helvetica Neue" w:cs="Helvetica Neue"/>
        </w:rPr>
        <w:t>e system will mount an efficient secondary response and it is unlikely that very much of the virus would be able to get to the hematopoietic stem cells.</w:t>
      </w:r>
    </w:p>
    <w:p w:rsidR="00AE638E" w:rsidRDefault="00AE638E">
      <w:pPr>
        <w:rPr>
          <w:rFonts w:ascii="Helvetica Neue" w:eastAsia="Helvetica Neue" w:hAnsi="Helvetica Neue" w:cs="Helvetica Neue"/>
        </w:rPr>
      </w:pP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rPr>
        <w:t>Extensions:</w:t>
      </w:r>
    </w:p>
    <w:p w:rsidR="00AE638E" w:rsidRDefault="00C2631C">
      <w:pPr>
        <w:numPr>
          <w:ilvl w:val="0"/>
          <w:numId w:val="1"/>
        </w:numPr>
        <w:rPr>
          <w:rFonts w:ascii="Helvetica Neue" w:eastAsia="Helvetica Neue" w:hAnsi="Helvetica Neue" w:cs="Helvetica Neue"/>
        </w:rPr>
      </w:pPr>
      <w:r>
        <w:rPr>
          <w:rFonts w:ascii="Helvetica Neue" w:eastAsia="Helvetica Neue" w:hAnsi="Helvetica Neue" w:cs="Helvetica Neue"/>
        </w:rPr>
        <w:t xml:space="preserve">Reinforce students’ understanding of the Bohr effect by adding in questions </w:t>
      </w:r>
    </w:p>
    <w:p w:rsidR="00AE638E" w:rsidRDefault="00C2631C">
      <w:pPr>
        <w:numPr>
          <w:ilvl w:val="0"/>
          <w:numId w:val="1"/>
        </w:numPr>
        <w:rPr>
          <w:rFonts w:ascii="Helvetica Neue" w:eastAsia="Helvetica Neue" w:hAnsi="Helvetica Neue" w:cs="Helvetica Neue"/>
        </w:rPr>
      </w:pPr>
      <w:r>
        <w:rPr>
          <w:rFonts w:ascii="Helvetica Neue" w:eastAsia="Helvetica Neue" w:hAnsi="Helvetica Neue" w:cs="Helvetica Neue"/>
        </w:rPr>
        <w:t xml:space="preserve">In a biology class, a natural extension or way to approach the topic of Sickle Cell Disease is through discussion of natural selection and fitness.  HHMI has more resources on SCD and natural selection that can be found here: </w:t>
      </w:r>
      <w:hyperlink r:id="rId11">
        <w:r>
          <w:rPr>
            <w:rFonts w:ascii="Helvetica Neue" w:eastAsia="Helvetica Neue" w:hAnsi="Helvetica Neue" w:cs="Helvetica Neue"/>
            <w:color w:val="1155CC"/>
            <w:u w:val="single"/>
          </w:rPr>
          <w:t>https://www.hhmi.org/biointeractive/making-fittest</w:t>
        </w:r>
      </w:hyperlink>
    </w:p>
    <w:p w:rsidR="00AE638E" w:rsidRDefault="00C2631C">
      <w:pPr>
        <w:numPr>
          <w:ilvl w:val="0"/>
          <w:numId w:val="1"/>
        </w:numPr>
        <w:rPr>
          <w:rFonts w:ascii="Helvetica Neue" w:eastAsia="Helvetica Neue" w:hAnsi="Helvetica Neue" w:cs="Helvetica Neue"/>
        </w:rPr>
      </w:pPr>
      <w:r>
        <w:rPr>
          <w:rFonts w:ascii="Helvetica Neue" w:eastAsia="Helvetica Neue" w:hAnsi="Helvetica Neue" w:cs="Helvetica Neue"/>
        </w:rPr>
        <w:t>In an A&amp;P course, an extension of this activity could include examination of the complications of SCD, including the implications for the liver.</w:t>
      </w:r>
    </w:p>
    <w:p w:rsidR="00AE638E" w:rsidRDefault="00C2631C">
      <w:pPr>
        <w:numPr>
          <w:ilvl w:val="0"/>
          <w:numId w:val="1"/>
        </w:numPr>
        <w:rPr>
          <w:rFonts w:ascii="Helvetica Neue" w:eastAsia="Helvetica Neue" w:hAnsi="Helvetica Neue" w:cs="Helvetica Neue"/>
        </w:rPr>
      </w:pPr>
      <w:r>
        <w:rPr>
          <w:rFonts w:ascii="Helvetica Neue" w:eastAsia="Helvetica Neue" w:hAnsi="Helvetica Neue" w:cs="Helvetica Neue"/>
        </w:rPr>
        <w:t>In an advanced physi</w:t>
      </w:r>
      <w:r>
        <w:rPr>
          <w:rFonts w:ascii="Helvetica Neue" w:eastAsia="Helvetica Neue" w:hAnsi="Helvetica Neue" w:cs="Helvetica Neue"/>
        </w:rPr>
        <w:t>ology or molecular biology courses, incorporation of some of the other SCD therapies and clinical trials could include examining hemoglobin polymer formation, antiadhesive therapies or pain management techniques (beautifully summarized in Kapoor et al., 20</w:t>
      </w:r>
      <w:r>
        <w:rPr>
          <w:rFonts w:ascii="Helvetica Neue" w:eastAsia="Helvetica Neue" w:hAnsi="Helvetica Neue" w:cs="Helvetica Neue"/>
        </w:rPr>
        <w:t xml:space="preserve">18).  </w:t>
      </w:r>
    </w:p>
    <w:p w:rsidR="00AE638E" w:rsidRDefault="00C2631C">
      <w:pPr>
        <w:rPr>
          <w:rFonts w:ascii="Helvetica Neue" w:eastAsia="Helvetica Neue" w:hAnsi="Helvetica Neue" w:cs="Helvetica Neue"/>
        </w:rPr>
      </w:pPr>
      <w:r>
        <w:rPr>
          <w:rFonts w:ascii="Helvetica Neue" w:eastAsia="Helvetica Neue" w:hAnsi="Helvetica Neue" w:cs="Helvetica Neue"/>
        </w:rPr>
        <w:t xml:space="preserve">References: </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rPr>
        <w:t xml:space="preserve">Kapoor, Little and Pecker, (2018). Advances in the Treatment of Sickle Cell Disease. </w:t>
      </w:r>
      <w:r>
        <w:rPr>
          <w:rFonts w:ascii="Helvetica Neue" w:eastAsia="Helvetica Neue" w:hAnsi="Helvetica Neue" w:cs="Helvetica Neue"/>
          <w:i/>
        </w:rPr>
        <w:t xml:space="preserve">Mayo Clinic Proceedings </w:t>
      </w:r>
      <w:r>
        <w:rPr>
          <w:rFonts w:ascii="Helvetica Neue" w:eastAsia="Helvetica Neue" w:hAnsi="Helvetica Neue" w:cs="Helvetica Neue"/>
        </w:rPr>
        <w:t>93(12): 1810-1824.</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rPr>
        <w:t xml:space="preserve">Sankaran and Orkin (2013). The switch from Fetal to Adult Hemoglobin. </w:t>
      </w:r>
      <w:r>
        <w:rPr>
          <w:rFonts w:ascii="Helvetica Neue" w:eastAsia="Helvetica Neue" w:hAnsi="Helvetica Neue" w:cs="Helvetica Neue"/>
          <w:i/>
        </w:rPr>
        <w:t>Cold Spring Harbor Laboratory Perspe</w:t>
      </w:r>
      <w:r>
        <w:rPr>
          <w:rFonts w:ascii="Helvetica Neue" w:eastAsia="Helvetica Neue" w:hAnsi="Helvetica Neue" w:cs="Helvetica Neue"/>
          <w:i/>
        </w:rPr>
        <w:t>ctives in Medicine</w:t>
      </w:r>
      <w:r>
        <w:rPr>
          <w:rFonts w:ascii="Helvetica Neue" w:eastAsia="Helvetica Neue" w:hAnsi="Helvetica Neue" w:cs="Helvetica Neue"/>
        </w:rPr>
        <w:t xml:space="preserve"> 3 a011643.</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rPr>
        <w:lastRenderedPageBreak/>
        <w:t xml:space="preserve">Wang and Thein (2018). Switching from fetal to adult hemoglobin. </w:t>
      </w:r>
      <w:r>
        <w:rPr>
          <w:rFonts w:ascii="Helvetica Neue" w:eastAsia="Helvetica Neue" w:hAnsi="Helvetica Neue" w:cs="Helvetica Neue"/>
          <w:i/>
        </w:rPr>
        <w:t>Nature Genetics</w:t>
      </w:r>
      <w:r>
        <w:rPr>
          <w:rFonts w:ascii="Helvetica Neue" w:eastAsia="Helvetica Neue" w:hAnsi="Helvetica Neue" w:cs="Helvetica Neue"/>
        </w:rPr>
        <w:t xml:space="preserve"> 50: 477-482.</w:t>
      </w:r>
    </w:p>
    <w:p w:rsidR="00AE638E" w:rsidRDefault="00AE638E">
      <w:pPr>
        <w:rPr>
          <w:rFonts w:ascii="Helvetica Neue" w:eastAsia="Helvetica Neue" w:hAnsi="Helvetica Neue" w:cs="Helvetica Neue"/>
        </w:rPr>
      </w:pPr>
    </w:p>
    <w:p w:rsidR="00AE638E" w:rsidRDefault="00C2631C">
      <w:pPr>
        <w:rPr>
          <w:rFonts w:ascii="Helvetica Neue" w:eastAsia="Helvetica Neue" w:hAnsi="Helvetica Neue" w:cs="Helvetica Neue"/>
        </w:rPr>
      </w:pPr>
      <w:r>
        <w:rPr>
          <w:rFonts w:ascii="Helvetica Neue" w:eastAsia="Helvetica Neue" w:hAnsi="Helvetica Neue" w:cs="Helvetica Neue"/>
        </w:rPr>
        <w:t xml:space="preserve">Kato, Steinberg and Gladwin (2017). Intravascular hemolysis and the pathophysiology of sickle cell disease. </w:t>
      </w:r>
      <w:r>
        <w:rPr>
          <w:rFonts w:ascii="Helvetica Neue" w:eastAsia="Helvetica Neue" w:hAnsi="Helvetica Neue" w:cs="Helvetica Neue"/>
          <w:i/>
        </w:rPr>
        <w:t>Journal of Clinical Investigation</w:t>
      </w:r>
      <w:r>
        <w:rPr>
          <w:rFonts w:ascii="Helvetica Neue" w:eastAsia="Helvetica Neue" w:hAnsi="Helvetica Neue" w:cs="Helvetica Neue"/>
        </w:rPr>
        <w:t xml:space="preserve"> 127(3): 750-760.</w:t>
      </w:r>
    </w:p>
    <w:sectPr w:rsidR="00AE63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0863"/>
    <w:multiLevelType w:val="multilevel"/>
    <w:tmpl w:val="F0F80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F42679"/>
    <w:multiLevelType w:val="multilevel"/>
    <w:tmpl w:val="4E882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B31959"/>
    <w:multiLevelType w:val="multilevel"/>
    <w:tmpl w:val="263E8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DF2A3D"/>
    <w:multiLevelType w:val="multilevel"/>
    <w:tmpl w:val="406A7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5A6E84"/>
    <w:multiLevelType w:val="multilevel"/>
    <w:tmpl w:val="22346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1A14A6"/>
    <w:multiLevelType w:val="multilevel"/>
    <w:tmpl w:val="BD6EA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C8256F"/>
    <w:multiLevelType w:val="multilevel"/>
    <w:tmpl w:val="AA866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8E"/>
    <w:rsid w:val="00AE638E"/>
    <w:rsid w:val="00C2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C80D293-5CF7-A94D-9372-26FC280F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hmi.org/biointeractive/how-do-fibers-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mi.org/biointeractive/central-dogma-and-genetic-medicine" TargetMode="External"/><Relationship Id="rId11" Type="http://schemas.openxmlformats.org/officeDocument/2006/relationships/hyperlink" Target="https://www.hhmi.org/biointeractive/making-fittest" TargetMode="External"/><Relationship Id="rId5" Type="http://schemas.openxmlformats.org/officeDocument/2006/relationships/hyperlink" Target="http://www.epsteineducation.com/home/about/" TargetMode="External"/><Relationship Id="rId10" Type="http://schemas.openxmlformats.org/officeDocument/2006/relationships/hyperlink" Target="https://www.hhmi.org/biointeractive/central-dogma-and-genetic-medicine"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 Elizabeth</cp:lastModifiedBy>
  <cp:revision>2</cp:revision>
  <dcterms:created xsi:type="dcterms:W3CDTF">2019-05-26T02:59:00Z</dcterms:created>
  <dcterms:modified xsi:type="dcterms:W3CDTF">2019-05-26T02:59:00Z</dcterms:modified>
</cp:coreProperties>
</file>