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651F3" w14:textId="77777777" w:rsidR="00775048" w:rsidRDefault="00E50195">
      <w:pPr>
        <w:rPr>
          <w:b/>
        </w:rPr>
      </w:pPr>
      <w:r>
        <w:rPr>
          <w:b/>
        </w:rPr>
        <w:t>Worksheet 2  Finding a treatment</w:t>
      </w:r>
    </w:p>
    <w:p w14:paraId="5552A0EE" w14:textId="77777777" w:rsidR="00775048" w:rsidRDefault="00775048"/>
    <w:p w14:paraId="5DF4B981" w14:textId="77777777" w:rsidR="00775048" w:rsidRDefault="00E50195">
      <w:r>
        <w:t>Learning Objective: This worksheet introduces students to some of the approaches for treating and managing the COVID-19 pandemic.</w:t>
      </w:r>
    </w:p>
    <w:p w14:paraId="107D6B0C" w14:textId="77777777" w:rsidR="00775048" w:rsidRDefault="00775048"/>
    <w:p w14:paraId="36807564" w14:textId="41FA3055" w:rsidR="00775048" w:rsidRDefault="00E50195">
      <w:r>
        <w:t xml:space="preserve">An interview with the founder of SynBioBeta John Cumbers by </w:t>
      </w:r>
      <w:hyperlink r:id="rId7">
        <w:r>
          <w:rPr>
            <w:color w:val="1155CC"/>
            <w:u w:val="single"/>
          </w:rPr>
          <w:t xml:space="preserve">RT </w:t>
        </w:r>
      </w:hyperlink>
      <w:hyperlink r:id="rId8">
        <w:r>
          <w:rPr>
            <w:color w:val="1155CC"/>
            <w:u w:val="single"/>
          </w:rPr>
          <w:t>America</w:t>
        </w:r>
      </w:hyperlink>
      <w:r>
        <w:t xml:space="preserve"> discusses the efforts of scientists and doctors to develop a treatment for COVID-19.  The brief video introduces the concept of synthetic biology and some of the early efforts in developing potential treatments against SARS-CoV-2 infection.  In the video, different approaches to developing a treatment are discussed.  These approaches include repurposing previously approved drugs, use of purified antibodies from recovered patients (passive immunity), and the development of vaccines (Figure 1).  These approaches are both short-term and long-term in dealing with COVID-19 and any other viral diseases that we may experience in the future.  </w:t>
      </w:r>
    </w:p>
    <w:p w14:paraId="7924427C" w14:textId="77777777" w:rsidR="00775048" w:rsidRDefault="00775048"/>
    <w:p w14:paraId="7F1781FC" w14:textId="77777777" w:rsidR="00775048" w:rsidRDefault="00E50195">
      <w:pPr>
        <w:jc w:val="center"/>
      </w:pPr>
      <w:r>
        <w:rPr>
          <w:noProof/>
        </w:rPr>
        <w:drawing>
          <wp:inline distT="114300" distB="114300" distL="114300" distR="114300" wp14:anchorId="38CFA6E9" wp14:editId="1142FC75">
            <wp:extent cx="4271963" cy="449103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271963" cy="4491038"/>
                    </a:xfrm>
                    <a:prstGeom prst="rect">
                      <a:avLst/>
                    </a:prstGeom>
                    <a:ln/>
                  </pic:spPr>
                </pic:pic>
              </a:graphicData>
            </a:graphic>
          </wp:inline>
        </w:drawing>
      </w:r>
    </w:p>
    <w:p w14:paraId="43E292F6" w14:textId="184A5709" w:rsidR="00775048" w:rsidRDefault="00E50195" w:rsidP="0064014D">
      <w:pPr>
        <w:ind w:left="720"/>
      </w:pPr>
      <w:r>
        <w:t>Figure 1.  Varied approaches to treat COVID-19.  (</w:t>
      </w:r>
      <w:r w:rsidR="00D246A0">
        <w:t>Image used with permission</w:t>
      </w:r>
      <w:r>
        <w:t xml:space="preserve"> from </w:t>
      </w:r>
      <w:r w:rsidR="0064014D">
        <w:t>SynBioBeta (</w:t>
      </w:r>
      <w:r>
        <w:t>http://</w:t>
      </w:r>
      <w:hyperlink r:id="rId10">
        <w:r>
          <w:rPr>
            <w:color w:val="1155CC"/>
            <w:u w:val="single"/>
          </w:rPr>
          <w:t>www.synbiobeta.com/COVID19</w:t>
        </w:r>
      </w:hyperlink>
      <w:r>
        <w:t>)</w:t>
      </w:r>
      <w:r w:rsidR="0064014D">
        <w:t>).</w:t>
      </w:r>
    </w:p>
    <w:p w14:paraId="662CCF4A" w14:textId="77777777" w:rsidR="00775048" w:rsidRDefault="00775048"/>
    <w:p w14:paraId="7A66FB14" w14:textId="22DDF839" w:rsidR="00D246A0" w:rsidRDefault="00D246A0">
      <w:r>
        <w:t xml:space="preserve">The viral infection cycle involves the binding of the virus (attachment) to specific cell types through the interaction of one or more viral coat proteins and one or more eukaryotic cellular transmembrane proteins.  Once attachment has occurred, the viral particle (virion) delivers the </w:t>
      </w:r>
      <w:r>
        <w:lastRenderedPageBreak/>
        <w:t>genome (RNA in the case of SARS-CoV-2) into the cell.  This genome is replicated</w:t>
      </w:r>
      <w:r w:rsidR="0064014D">
        <w:t xml:space="preserve"> (RNA dependent RNA polymerase)</w:t>
      </w:r>
      <w:r>
        <w:t xml:space="preserve"> and viral proteins are synthesized by the host cell.  The new virion is then packaged to be released from the cell.  </w:t>
      </w:r>
    </w:p>
    <w:p w14:paraId="0FB552F7" w14:textId="77777777" w:rsidR="00D246A0" w:rsidRPr="00D246A0" w:rsidRDefault="00D246A0"/>
    <w:p w14:paraId="6019479C" w14:textId="665433DF" w:rsidR="00775048" w:rsidRDefault="00E50195">
      <w:r>
        <w:rPr>
          <w:u w:val="single"/>
        </w:rPr>
        <w:t>Repurposed drugs</w:t>
      </w:r>
      <w:r>
        <w:t xml:space="preserve"> - The idea is to use drugs that have previously been approved by the Federal Drug Administration (FDA) for the treatment of a specific disease </w:t>
      </w:r>
      <w:r w:rsidR="005A3D48">
        <w:t xml:space="preserve">to be used as a </w:t>
      </w:r>
      <w:r>
        <w:t xml:space="preserve"> treatment of individuals with COVID-19 infections. The FDA approval process is long and commonly entails three phases of clinical trials before it is licen</w:t>
      </w:r>
      <w:r w:rsidR="005A3D48">
        <w:t>s</w:t>
      </w:r>
      <w:r>
        <w:t xml:space="preserve">ed for use . The phase I tests safety of the drug, phase II looks at the efficacy of the drug in treating the disease or condition, and phase III confirms efficacy in large populations and monitors side effects. The repurposed drugs have the advantage that they have been deemed safe in regards to the FDA standards, which allows the drugs to be used in Phase II trials earlier to test efficacy </w:t>
      </w:r>
      <w:r w:rsidR="005A3D48">
        <w:t xml:space="preserve">(effectiveness) </w:t>
      </w:r>
      <w:r>
        <w:t xml:space="preserve">(Figure 2).  While these drugs have been approved to be used for a variety of infectious agents, their effect on the SARS-CoV-2 virus is currently untested. </w:t>
      </w:r>
    </w:p>
    <w:p w14:paraId="44DD23EF" w14:textId="77777777" w:rsidR="00775048" w:rsidRDefault="00775048"/>
    <w:p w14:paraId="72B84FC1" w14:textId="77777777" w:rsidR="00775048" w:rsidRDefault="00E50195" w:rsidP="005C52E1">
      <w:pPr>
        <w:jc w:val="center"/>
      </w:pPr>
      <w:r>
        <w:rPr>
          <w:noProof/>
        </w:rPr>
        <w:drawing>
          <wp:inline distT="114300" distB="114300" distL="114300" distR="114300" wp14:anchorId="51DBD6BD" wp14:editId="16B98B80">
            <wp:extent cx="5168900" cy="1155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168900" cy="1155700"/>
                    </a:xfrm>
                    <a:prstGeom prst="rect">
                      <a:avLst/>
                    </a:prstGeom>
                    <a:ln/>
                  </pic:spPr>
                </pic:pic>
              </a:graphicData>
            </a:graphic>
          </wp:inline>
        </w:drawing>
      </w:r>
    </w:p>
    <w:p w14:paraId="23D88757" w14:textId="66014105" w:rsidR="00775048" w:rsidRDefault="00E50195" w:rsidP="005C52E1">
      <w:pPr>
        <w:ind w:left="720"/>
      </w:pPr>
      <w:r>
        <w:t>Figure 2.  Schematic of Federal Drug Administration drug approval process.  (</w:t>
      </w:r>
      <w:r w:rsidR="00D246A0">
        <w:t>Image used with permission from</w:t>
      </w:r>
      <w:r w:rsidR="005A3D48">
        <w:t xml:space="preserve"> SynBioBeta </w:t>
      </w:r>
      <w:r w:rsidR="00D246A0">
        <w:t xml:space="preserve"> </w:t>
      </w:r>
      <w:hyperlink r:id="rId12" w:history="1">
        <w:r w:rsidR="005A3D48" w:rsidRPr="00BC3FAF">
          <w:rPr>
            <w:rStyle w:val="Hyperlink"/>
          </w:rPr>
          <w:t>http://www.synbiobeta.org/COVID19</w:t>
        </w:r>
      </w:hyperlink>
      <w:r>
        <w:t>)</w:t>
      </w:r>
      <w:r w:rsidR="005A3D48">
        <w:t>)</w:t>
      </w:r>
      <w:r>
        <w:t xml:space="preserve">. </w:t>
      </w:r>
    </w:p>
    <w:p w14:paraId="44CCE18F" w14:textId="77777777" w:rsidR="00775048" w:rsidRDefault="00775048"/>
    <w:p w14:paraId="02F5F356" w14:textId="77777777" w:rsidR="00775048" w:rsidRDefault="00E50195">
      <w:r>
        <w:t xml:space="preserve">The listing of repurposed drugs shown in Table 1 was obtained from </w:t>
      </w:r>
      <w:hyperlink r:id="rId13">
        <w:r>
          <w:rPr>
            <w:color w:val="1155CC"/>
            <w:u w:val="single"/>
          </w:rPr>
          <w:t>COVID-19 Treatment and Vaccine Tracker</w:t>
        </w:r>
      </w:hyperlink>
      <w:r>
        <w:t xml:space="preserve">.  To find the approved purpose and function, go to </w:t>
      </w:r>
      <w:hyperlink r:id="rId14">
        <w:r>
          <w:rPr>
            <w:color w:val="1155CC"/>
            <w:u w:val="single"/>
          </w:rPr>
          <w:t>DrugBank</w:t>
        </w:r>
      </w:hyperlink>
      <w:r>
        <w:t xml:space="preserve"> and look up the specific drug listed in the first column.  Then fill out the next two columns based on the information you gathered.</w:t>
      </w:r>
    </w:p>
    <w:p w14:paraId="3084C930" w14:textId="77777777" w:rsidR="00775048" w:rsidRDefault="00775048"/>
    <w:p w14:paraId="712710F3" w14:textId="77777777" w:rsidR="00775048" w:rsidRDefault="00E50195">
      <w:r>
        <w:t>Table 1.  Some of the repurposed drugs that are being investigated for treatment of COVID-19.</w:t>
      </w:r>
    </w:p>
    <w:tbl>
      <w:tblPr>
        <w:tblStyle w:val="a"/>
        <w:tblW w:w="10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4305"/>
      </w:tblGrid>
      <w:tr w:rsidR="00775048" w14:paraId="19DDD518" w14:textId="77777777">
        <w:tc>
          <w:tcPr>
            <w:tcW w:w="3120" w:type="dxa"/>
            <w:shd w:val="clear" w:color="auto" w:fill="auto"/>
            <w:tcMar>
              <w:top w:w="100" w:type="dxa"/>
              <w:left w:w="100" w:type="dxa"/>
              <w:bottom w:w="100" w:type="dxa"/>
              <w:right w:w="100" w:type="dxa"/>
            </w:tcMar>
          </w:tcPr>
          <w:p w14:paraId="02C23B4F" w14:textId="77777777" w:rsidR="00775048" w:rsidRDefault="00E50195">
            <w:pPr>
              <w:widowControl w:val="0"/>
              <w:pBdr>
                <w:top w:val="nil"/>
                <w:left w:val="nil"/>
                <w:bottom w:val="nil"/>
                <w:right w:val="nil"/>
                <w:between w:val="nil"/>
              </w:pBdr>
              <w:spacing w:line="240" w:lineRule="auto"/>
              <w:rPr>
                <w:b/>
              </w:rPr>
            </w:pPr>
            <w:r>
              <w:rPr>
                <w:b/>
              </w:rPr>
              <w:t>Repurposed drug</w:t>
            </w:r>
          </w:p>
        </w:tc>
        <w:tc>
          <w:tcPr>
            <w:tcW w:w="3120" w:type="dxa"/>
            <w:shd w:val="clear" w:color="auto" w:fill="auto"/>
            <w:tcMar>
              <w:top w:w="100" w:type="dxa"/>
              <w:left w:w="100" w:type="dxa"/>
              <w:bottom w:w="100" w:type="dxa"/>
              <w:right w:w="100" w:type="dxa"/>
            </w:tcMar>
          </w:tcPr>
          <w:p w14:paraId="7069F114" w14:textId="77777777" w:rsidR="00775048" w:rsidRDefault="00E50195">
            <w:pPr>
              <w:widowControl w:val="0"/>
              <w:pBdr>
                <w:top w:val="nil"/>
                <w:left w:val="nil"/>
                <w:bottom w:val="nil"/>
                <w:right w:val="nil"/>
                <w:between w:val="nil"/>
              </w:pBdr>
              <w:spacing w:line="240" w:lineRule="auto"/>
              <w:rPr>
                <w:b/>
              </w:rPr>
            </w:pPr>
            <w:r>
              <w:rPr>
                <w:b/>
              </w:rPr>
              <w:t>Approved purpose</w:t>
            </w:r>
          </w:p>
        </w:tc>
        <w:tc>
          <w:tcPr>
            <w:tcW w:w="4305" w:type="dxa"/>
            <w:shd w:val="clear" w:color="auto" w:fill="auto"/>
            <w:tcMar>
              <w:top w:w="100" w:type="dxa"/>
              <w:left w:w="100" w:type="dxa"/>
              <w:bottom w:w="100" w:type="dxa"/>
              <w:right w:w="100" w:type="dxa"/>
            </w:tcMar>
          </w:tcPr>
          <w:p w14:paraId="2B5292FE" w14:textId="77777777" w:rsidR="00775048" w:rsidRDefault="00E50195">
            <w:pPr>
              <w:widowControl w:val="0"/>
              <w:pBdr>
                <w:top w:val="nil"/>
                <w:left w:val="nil"/>
                <w:bottom w:val="nil"/>
                <w:right w:val="nil"/>
                <w:between w:val="nil"/>
              </w:pBdr>
              <w:spacing w:line="240" w:lineRule="auto"/>
              <w:rPr>
                <w:b/>
              </w:rPr>
            </w:pPr>
            <w:r>
              <w:rPr>
                <w:b/>
              </w:rPr>
              <w:t>Function</w:t>
            </w:r>
          </w:p>
        </w:tc>
      </w:tr>
      <w:tr w:rsidR="00775048" w14:paraId="1DC6DA7C" w14:textId="77777777">
        <w:tc>
          <w:tcPr>
            <w:tcW w:w="3120" w:type="dxa"/>
            <w:shd w:val="clear" w:color="auto" w:fill="auto"/>
            <w:tcMar>
              <w:top w:w="100" w:type="dxa"/>
              <w:left w:w="100" w:type="dxa"/>
              <w:bottom w:w="100" w:type="dxa"/>
              <w:right w:w="100" w:type="dxa"/>
            </w:tcMar>
          </w:tcPr>
          <w:p w14:paraId="6E44C3BF" w14:textId="77777777" w:rsidR="00775048" w:rsidRDefault="00E50195">
            <w:pPr>
              <w:widowControl w:val="0"/>
              <w:pBdr>
                <w:top w:val="nil"/>
                <w:left w:val="nil"/>
                <w:bottom w:val="nil"/>
                <w:right w:val="nil"/>
                <w:between w:val="nil"/>
              </w:pBdr>
              <w:spacing w:line="240" w:lineRule="auto"/>
            </w:pPr>
            <w:r>
              <w:t>Remdesivir</w:t>
            </w:r>
          </w:p>
        </w:tc>
        <w:tc>
          <w:tcPr>
            <w:tcW w:w="3120" w:type="dxa"/>
            <w:shd w:val="clear" w:color="auto" w:fill="FFFF00"/>
            <w:tcMar>
              <w:top w:w="100" w:type="dxa"/>
              <w:left w:w="100" w:type="dxa"/>
              <w:bottom w:w="100" w:type="dxa"/>
              <w:right w:w="100" w:type="dxa"/>
            </w:tcMar>
          </w:tcPr>
          <w:p w14:paraId="5F1661E8" w14:textId="77777777" w:rsidR="00775048" w:rsidRDefault="00775048">
            <w:pPr>
              <w:widowControl w:val="0"/>
              <w:pBdr>
                <w:top w:val="nil"/>
                <w:left w:val="nil"/>
                <w:bottom w:val="nil"/>
                <w:right w:val="nil"/>
                <w:between w:val="nil"/>
              </w:pBdr>
              <w:spacing w:line="240" w:lineRule="auto"/>
              <w:rPr>
                <w:color w:val="FF0000"/>
              </w:rPr>
            </w:pPr>
          </w:p>
        </w:tc>
        <w:tc>
          <w:tcPr>
            <w:tcW w:w="4305" w:type="dxa"/>
            <w:shd w:val="clear" w:color="auto" w:fill="FFFF00"/>
            <w:tcMar>
              <w:top w:w="100" w:type="dxa"/>
              <w:left w:w="100" w:type="dxa"/>
              <w:bottom w:w="100" w:type="dxa"/>
              <w:right w:w="100" w:type="dxa"/>
            </w:tcMar>
          </w:tcPr>
          <w:p w14:paraId="78B6F44B" w14:textId="77777777" w:rsidR="00775048" w:rsidRDefault="00775048">
            <w:pPr>
              <w:widowControl w:val="0"/>
              <w:pBdr>
                <w:top w:val="nil"/>
                <w:left w:val="nil"/>
                <w:bottom w:val="nil"/>
                <w:right w:val="nil"/>
                <w:between w:val="nil"/>
              </w:pBdr>
              <w:spacing w:line="240" w:lineRule="auto"/>
              <w:rPr>
                <w:color w:val="FF0000"/>
              </w:rPr>
            </w:pPr>
          </w:p>
        </w:tc>
      </w:tr>
      <w:tr w:rsidR="00775048" w14:paraId="4277C57D" w14:textId="77777777">
        <w:tc>
          <w:tcPr>
            <w:tcW w:w="3120" w:type="dxa"/>
            <w:shd w:val="clear" w:color="auto" w:fill="auto"/>
            <w:tcMar>
              <w:top w:w="100" w:type="dxa"/>
              <w:left w:w="100" w:type="dxa"/>
              <w:bottom w:w="100" w:type="dxa"/>
              <w:right w:w="100" w:type="dxa"/>
            </w:tcMar>
          </w:tcPr>
          <w:p w14:paraId="70B876A0" w14:textId="77777777" w:rsidR="00775048" w:rsidRDefault="00E50195">
            <w:pPr>
              <w:widowControl w:val="0"/>
              <w:pBdr>
                <w:top w:val="nil"/>
                <w:left w:val="nil"/>
                <w:bottom w:val="nil"/>
                <w:right w:val="nil"/>
                <w:between w:val="nil"/>
              </w:pBdr>
              <w:spacing w:line="240" w:lineRule="auto"/>
            </w:pPr>
            <w:r>
              <w:t>Lopinavir</w:t>
            </w:r>
          </w:p>
        </w:tc>
        <w:tc>
          <w:tcPr>
            <w:tcW w:w="3120" w:type="dxa"/>
            <w:shd w:val="clear" w:color="auto" w:fill="FFFF00"/>
            <w:tcMar>
              <w:top w:w="100" w:type="dxa"/>
              <w:left w:w="100" w:type="dxa"/>
              <w:bottom w:w="100" w:type="dxa"/>
              <w:right w:w="100" w:type="dxa"/>
            </w:tcMar>
          </w:tcPr>
          <w:p w14:paraId="6FABBF13" w14:textId="77777777" w:rsidR="00775048" w:rsidRDefault="00775048">
            <w:pPr>
              <w:widowControl w:val="0"/>
              <w:pBdr>
                <w:top w:val="nil"/>
                <w:left w:val="nil"/>
                <w:bottom w:val="nil"/>
                <w:right w:val="nil"/>
                <w:between w:val="nil"/>
              </w:pBdr>
              <w:spacing w:line="240" w:lineRule="auto"/>
              <w:rPr>
                <w:color w:val="FF0000"/>
              </w:rPr>
            </w:pPr>
          </w:p>
        </w:tc>
        <w:tc>
          <w:tcPr>
            <w:tcW w:w="4305" w:type="dxa"/>
            <w:shd w:val="clear" w:color="auto" w:fill="FFFF00"/>
            <w:tcMar>
              <w:top w:w="100" w:type="dxa"/>
              <w:left w:w="100" w:type="dxa"/>
              <w:bottom w:w="100" w:type="dxa"/>
              <w:right w:w="100" w:type="dxa"/>
            </w:tcMar>
          </w:tcPr>
          <w:p w14:paraId="2ACE2BEC" w14:textId="77777777" w:rsidR="00775048" w:rsidRDefault="00775048">
            <w:pPr>
              <w:widowControl w:val="0"/>
              <w:pBdr>
                <w:top w:val="nil"/>
                <w:left w:val="nil"/>
                <w:bottom w:val="nil"/>
                <w:right w:val="nil"/>
                <w:between w:val="nil"/>
              </w:pBdr>
              <w:spacing w:line="240" w:lineRule="auto"/>
              <w:rPr>
                <w:color w:val="FF0000"/>
              </w:rPr>
            </w:pPr>
          </w:p>
        </w:tc>
      </w:tr>
      <w:tr w:rsidR="00775048" w14:paraId="181FD195" w14:textId="77777777">
        <w:tc>
          <w:tcPr>
            <w:tcW w:w="3120" w:type="dxa"/>
            <w:shd w:val="clear" w:color="auto" w:fill="auto"/>
            <w:tcMar>
              <w:top w:w="100" w:type="dxa"/>
              <w:left w:w="100" w:type="dxa"/>
              <w:bottom w:w="100" w:type="dxa"/>
              <w:right w:w="100" w:type="dxa"/>
            </w:tcMar>
          </w:tcPr>
          <w:p w14:paraId="07E03490" w14:textId="77777777" w:rsidR="00775048" w:rsidRDefault="00E50195">
            <w:pPr>
              <w:widowControl w:val="0"/>
              <w:pBdr>
                <w:top w:val="nil"/>
                <w:left w:val="nil"/>
                <w:bottom w:val="nil"/>
                <w:right w:val="nil"/>
                <w:between w:val="nil"/>
              </w:pBdr>
              <w:spacing w:line="240" w:lineRule="auto"/>
            </w:pPr>
            <w:r>
              <w:t>Hydroxychloroquine</w:t>
            </w:r>
          </w:p>
        </w:tc>
        <w:tc>
          <w:tcPr>
            <w:tcW w:w="3120" w:type="dxa"/>
            <w:shd w:val="clear" w:color="auto" w:fill="FFFF00"/>
            <w:tcMar>
              <w:top w:w="100" w:type="dxa"/>
              <w:left w:w="100" w:type="dxa"/>
              <w:bottom w:w="100" w:type="dxa"/>
              <w:right w:w="100" w:type="dxa"/>
            </w:tcMar>
          </w:tcPr>
          <w:p w14:paraId="3F4D3E39" w14:textId="77777777" w:rsidR="00775048" w:rsidRDefault="00775048">
            <w:pPr>
              <w:widowControl w:val="0"/>
              <w:pBdr>
                <w:top w:val="nil"/>
                <w:left w:val="nil"/>
                <w:bottom w:val="nil"/>
                <w:right w:val="nil"/>
                <w:between w:val="nil"/>
              </w:pBdr>
              <w:spacing w:line="240" w:lineRule="auto"/>
              <w:rPr>
                <w:color w:val="FF0000"/>
              </w:rPr>
            </w:pPr>
          </w:p>
        </w:tc>
        <w:tc>
          <w:tcPr>
            <w:tcW w:w="4305" w:type="dxa"/>
            <w:shd w:val="clear" w:color="auto" w:fill="FFFF00"/>
            <w:tcMar>
              <w:top w:w="100" w:type="dxa"/>
              <w:left w:w="100" w:type="dxa"/>
              <w:bottom w:w="100" w:type="dxa"/>
              <w:right w:w="100" w:type="dxa"/>
            </w:tcMar>
          </w:tcPr>
          <w:p w14:paraId="1158D63E" w14:textId="77777777" w:rsidR="00775048" w:rsidRDefault="00775048">
            <w:pPr>
              <w:widowControl w:val="0"/>
              <w:pBdr>
                <w:top w:val="nil"/>
                <w:left w:val="nil"/>
                <w:bottom w:val="nil"/>
                <w:right w:val="nil"/>
                <w:between w:val="nil"/>
              </w:pBdr>
              <w:spacing w:line="240" w:lineRule="auto"/>
              <w:rPr>
                <w:color w:val="FF0000"/>
              </w:rPr>
            </w:pPr>
          </w:p>
        </w:tc>
      </w:tr>
      <w:tr w:rsidR="00775048" w14:paraId="0BD314F9" w14:textId="77777777">
        <w:tc>
          <w:tcPr>
            <w:tcW w:w="3120" w:type="dxa"/>
            <w:shd w:val="clear" w:color="auto" w:fill="auto"/>
            <w:tcMar>
              <w:top w:w="100" w:type="dxa"/>
              <w:left w:w="100" w:type="dxa"/>
              <w:bottom w:w="100" w:type="dxa"/>
              <w:right w:w="100" w:type="dxa"/>
            </w:tcMar>
          </w:tcPr>
          <w:p w14:paraId="17B7F86E" w14:textId="77777777" w:rsidR="00775048" w:rsidRDefault="00E50195">
            <w:pPr>
              <w:widowControl w:val="0"/>
              <w:pBdr>
                <w:top w:val="nil"/>
                <w:left w:val="nil"/>
                <w:bottom w:val="nil"/>
                <w:right w:val="nil"/>
                <w:between w:val="nil"/>
              </w:pBdr>
              <w:spacing w:line="240" w:lineRule="auto"/>
            </w:pPr>
            <w:r>
              <w:rPr>
                <w:color w:val="192027"/>
                <w:highlight w:val="white"/>
              </w:rPr>
              <w:t>Baloxavir marboxil</w:t>
            </w:r>
            <w:r>
              <w:t xml:space="preserve"> </w:t>
            </w:r>
          </w:p>
        </w:tc>
        <w:tc>
          <w:tcPr>
            <w:tcW w:w="3120" w:type="dxa"/>
            <w:shd w:val="clear" w:color="auto" w:fill="FFFF00"/>
            <w:tcMar>
              <w:top w:w="100" w:type="dxa"/>
              <w:left w:w="100" w:type="dxa"/>
              <w:bottom w:w="100" w:type="dxa"/>
              <w:right w:w="100" w:type="dxa"/>
            </w:tcMar>
          </w:tcPr>
          <w:p w14:paraId="07C24963" w14:textId="77777777" w:rsidR="00775048" w:rsidRDefault="00775048">
            <w:pPr>
              <w:widowControl w:val="0"/>
              <w:pBdr>
                <w:top w:val="nil"/>
                <w:left w:val="nil"/>
                <w:bottom w:val="nil"/>
                <w:right w:val="nil"/>
                <w:between w:val="nil"/>
              </w:pBdr>
              <w:spacing w:line="240" w:lineRule="auto"/>
              <w:rPr>
                <w:color w:val="FF0000"/>
              </w:rPr>
            </w:pPr>
          </w:p>
        </w:tc>
        <w:tc>
          <w:tcPr>
            <w:tcW w:w="4305" w:type="dxa"/>
            <w:shd w:val="clear" w:color="auto" w:fill="FFFF00"/>
            <w:tcMar>
              <w:top w:w="100" w:type="dxa"/>
              <w:left w:w="100" w:type="dxa"/>
              <w:bottom w:w="100" w:type="dxa"/>
              <w:right w:w="100" w:type="dxa"/>
            </w:tcMar>
          </w:tcPr>
          <w:p w14:paraId="438621FF" w14:textId="77777777" w:rsidR="00775048" w:rsidRDefault="00775048">
            <w:pPr>
              <w:widowControl w:val="0"/>
              <w:pBdr>
                <w:top w:val="nil"/>
                <w:left w:val="nil"/>
                <w:bottom w:val="nil"/>
                <w:right w:val="nil"/>
                <w:between w:val="nil"/>
              </w:pBdr>
              <w:spacing w:line="240" w:lineRule="auto"/>
              <w:rPr>
                <w:color w:val="FF0000"/>
              </w:rPr>
            </w:pPr>
          </w:p>
        </w:tc>
      </w:tr>
    </w:tbl>
    <w:p w14:paraId="3BD8460F" w14:textId="77777777" w:rsidR="00775048" w:rsidRDefault="00775048"/>
    <w:p w14:paraId="730490BA" w14:textId="77777777" w:rsidR="00775048" w:rsidRDefault="00775048"/>
    <w:p w14:paraId="11312343" w14:textId="77777777" w:rsidR="00775048" w:rsidRDefault="00775048"/>
    <w:p w14:paraId="25228633" w14:textId="0796EBD5" w:rsidR="00775048" w:rsidRDefault="00E50195">
      <w:r>
        <w:rPr>
          <w:u w:val="single"/>
        </w:rPr>
        <w:t>Antibodies</w:t>
      </w:r>
      <w:r>
        <w:t xml:space="preserve"> - Upon infection, an individual mounts an immune response against </w:t>
      </w:r>
      <w:r w:rsidR="005A3D48">
        <w:t>parts of the</w:t>
      </w:r>
      <w:r>
        <w:t xml:space="preserve"> virus (or other invading organism). As part of the adaptive and specific immune response to the virus, the individual’s  B cells produce antibodies that can specifically bind to some part of the </w:t>
      </w:r>
      <w:r>
        <w:lastRenderedPageBreak/>
        <w:t xml:space="preserve">introduced virus, cell or protein (Figure 3). Individuals who have recovered from the COVID-19, are likely to have developed specific antibodies against the SARS-CoV-2 virus.  These antibodies can be purified from their blood plasma and then infused into another patient as an immediate short-term passive immunity against the infectious agent. This is a century-old practice and commonly </w:t>
      </w:r>
      <w:r w:rsidR="005C52E1">
        <w:t>sometimes used during</w:t>
      </w:r>
      <w:r>
        <w:t xml:space="preserve"> large-scale epidemics. This is particularly important since developing a vaccine and mounting an immune response takes some time (Figure 3).</w:t>
      </w:r>
    </w:p>
    <w:p w14:paraId="38832998" w14:textId="77777777" w:rsidR="00775048" w:rsidRDefault="00775048"/>
    <w:p w14:paraId="1ADF889C" w14:textId="490B596C" w:rsidR="00775048" w:rsidRDefault="00E50195" w:rsidP="00351EEA">
      <w:r>
        <w:rPr>
          <w:noProof/>
        </w:rPr>
        <w:drawing>
          <wp:inline distT="114300" distB="114300" distL="114300" distR="114300" wp14:anchorId="4788BCBA" wp14:editId="63BCFE97">
            <wp:extent cx="4119563" cy="2595324"/>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119563" cy="2595324"/>
                    </a:xfrm>
                    <a:prstGeom prst="rect">
                      <a:avLst/>
                    </a:prstGeom>
                    <a:ln/>
                  </pic:spPr>
                </pic:pic>
              </a:graphicData>
            </a:graphic>
          </wp:inline>
        </w:drawing>
      </w:r>
      <w:r w:rsidR="00351EEA" w:rsidRPr="00351EEA">
        <w:drawing>
          <wp:inline distT="0" distB="0" distL="0" distR="0" wp14:anchorId="53726232" wp14:editId="0FA53FB3">
            <wp:extent cx="1320800" cy="6894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41343" cy="700194"/>
                    </a:xfrm>
                    <a:prstGeom prst="rect">
                      <a:avLst/>
                    </a:prstGeom>
                  </pic:spPr>
                </pic:pic>
              </a:graphicData>
            </a:graphic>
          </wp:inline>
        </w:drawing>
      </w:r>
    </w:p>
    <w:p w14:paraId="1086E861" w14:textId="47122478" w:rsidR="00351EEA" w:rsidRPr="00351EEA" w:rsidRDefault="00E50195" w:rsidP="00351EEA">
      <w:pPr>
        <w:rPr>
          <w:rFonts w:ascii="Times New Roman" w:eastAsia="Times New Roman" w:hAnsi="Times New Roman" w:cs="Times New Roman"/>
          <w:sz w:val="24"/>
          <w:szCs w:val="24"/>
          <w:lang w:val="en-US"/>
        </w:rPr>
      </w:pPr>
      <w:r>
        <w:t>Figure 3.  Mounting an immune response against a specific antigen takes some time.  (</w:t>
      </w:r>
      <w:r w:rsidR="00D246A0">
        <w:t>Image used with permission</w:t>
      </w:r>
      <w:r>
        <w:t xml:space="preserve"> from</w:t>
      </w:r>
      <w:r w:rsidR="00D246A0">
        <w:t xml:space="preserve"> </w:t>
      </w:r>
      <w:r w:rsidR="00351EEA" w:rsidRPr="00351EEA">
        <w:rPr>
          <w:rFonts w:eastAsia="Times New Roman"/>
          <w:color w:val="222222"/>
          <w:sz w:val="24"/>
          <w:szCs w:val="24"/>
          <w:shd w:val="clear" w:color="auto" w:fill="FFFFFF"/>
          <w:vertAlign w:val="superscript"/>
          <w:lang w:val="en-US"/>
        </w:rPr>
        <w:t>©</w:t>
      </w:r>
      <w:r w:rsidR="00351EEA" w:rsidRPr="00351EEA">
        <w:rPr>
          <w:rFonts w:eastAsia="Times New Roman"/>
          <w:color w:val="222222"/>
          <w:sz w:val="24"/>
          <w:szCs w:val="24"/>
          <w:shd w:val="clear" w:color="auto" w:fill="FFFFFF"/>
          <w:lang w:val="en-US"/>
        </w:rPr>
        <w:t xml:space="preserve"> 2020 Novus Biologicals™ a Bio-Techne</w:t>
      </w:r>
      <w:r w:rsidR="00351EEA" w:rsidRPr="00351EEA">
        <w:rPr>
          <w:rFonts w:eastAsia="Times New Roman"/>
          <w:color w:val="222222"/>
          <w:sz w:val="24"/>
          <w:szCs w:val="24"/>
          <w:vertAlign w:val="superscript"/>
          <w:lang w:val="en-US"/>
        </w:rPr>
        <w:t>®</w:t>
      </w:r>
      <w:r w:rsidR="00351EEA" w:rsidRPr="00351EEA">
        <w:rPr>
          <w:rFonts w:eastAsia="Times New Roman"/>
          <w:color w:val="222222"/>
          <w:sz w:val="24"/>
          <w:szCs w:val="24"/>
          <w:shd w:val="clear" w:color="auto" w:fill="FFFFFF"/>
          <w:lang w:val="en-US"/>
        </w:rPr>
        <w:t> Company</w:t>
      </w:r>
    </w:p>
    <w:bookmarkStart w:id="0" w:name="_GoBack"/>
    <w:bookmarkEnd w:id="0"/>
    <w:p w14:paraId="0C887ABA" w14:textId="655D2600" w:rsidR="00775048" w:rsidRDefault="00351EEA" w:rsidP="00351EEA">
      <w:r>
        <w:rPr>
          <w:color w:val="1155CC"/>
          <w:u w:val="single"/>
        </w:rPr>
        <w:fldChar w:fldCharType="begin"/>
      </w:r>
      <w:r>
        <w:rPr>
          <w:color w:val="1155CC"/>
          <w:u w:val="single"/>
        </w:rPr>
        <w:instrText xml:space="preserve"> HYPERLINK "https://www.novusbio.com/research-areas/immunology" </w:instrText>
      </w:r>
      <w:r>
        <w:rPr>
          <w:color w:val="1155CC"/>
          <w:u w:val="single"/>
        </w:rPr>
        <w:fldChar w:fldCharType="separate"/>
      </w:r>
      <w:r w:rsidRPr="006A5A16">
        <w:rPr>
          <w:rStyle w:val="Hyperlink"/>
        </w:rPr>
        <w:t>https://www.novusbio.com/research-areas/immunology</w:t>
      </w:r>
      <w:r>
        <w:rPr>
          <w:color w:val="1155CC"/>
          <w:u w:val="single"/>
        </w:rPr>
        <w:fldChar w:fldCharType="end"/>
      </w:r>
      <w:r w:rsidR="00E50195">
        <w:t>).</w:t>
      </w:r>
    </w:p>
    <w:p w14:paraId="6AD8F1EE" w14:textId="77777777" w:rsidR="00775048" w:rsidRDefault="00775048"/>
    <w:p w14:paraId="1FC638CA" w14:textId="1A8BF576" w:rsidR="00775048" w:rsidRDefault="00E50195">
      <w:r>
        <w:rPr>
          <w:u w:val="single"/>
        </w:rPr>
        <w:t>Vaccines</w:t>
      </w:r>
      <w:r>
        <w:t xml:space="preserve"> - Vaccines are generated by introducing a viral protein</w:t>
      </w:r>
      <w:r w:rsidR="005C52E1">
        <w:t xml:space="preserve"> </w:t>
      </w:r>
      <w:r>
        <w:t xml:space="preserve">or an attenuated (viable but weakened) virus or inactivated virus into an individual so that they can develop immunity against the infecting agent.  Administering vaccinations to children at an early age has been used successfully to protect people against a wide variety of viruses and bacteria that have caused severe human disease in the past (Table 2).  Please watch the brief video on the purpose of </w:t>
      </w:r>
      <w:hyperlink r:id="rId17">
        <w:r>
          <w:rPr>
            <w:color w:val="0000FF"/>
            <w:u w:val="single"/>
          </w:rPr>
          <w:t>childhood vaccinations</w:t>
        </w:r>
      </w:hyperlink>
      <w:r>
        <w:t>.</w:t>
      </w:r>
    </w:p>
    <w:p w14:paraId="127D64A5" w14:textId="77777777" w:rsidR="00775048" w:rsidRDefault="00775048"/>
    <w:p w14:paraId="0E3AC227" w14:textId="77777777" w:rsidR="00D246A0" w:rsidRDefault="00D246A0">
      <w:r>
        <w:br w:type="page"/>
      </w:r>
    </w:p>
    <w:p w14:paraId="6F8AB773" w14:textId="15EBB2E5" w:rsidR="00775048" w:rsidRDefault="00E50195">
      <w:r>
        <w:lastRenderedPageBreak/>
        <w:t xml:space="preserve">Table 2.  </w:t>
      </w:r>
      <w:r w:rsidR="00D246A0">
        <w:t xml:space="preserve">Select </w:t>
      </w:r>
      <w:r>
        <w:t>CDC Childhood vaccination schedule  (</w:t>
      </w:r>
      <w:hyperlink r:id="rId18">
        <w:r>
          <w:rPr>
            <w:color w:val="1155CC"/>
            <w:u w:val="single"/>
          </w:rPr>
          <w:t>https://www.uspharmacist.com/article/childhood-vaccinations</w:t>
        </w:r>
      </w:hyperlink>
      <w:r>
        <w:t>)</w:t>
      </w:r>
    </w:p>
    <w:p w14:paraId="37ACA8BE" w14:textId="77777777" w:rsidR="00775048" w:rsidRDefault="00775048"/>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4635"/>
      </w:tblGrid>
      <w:tr w:rsidR="00775048" w14:paraId="6C04C9DD" w14:textId="77777777">
        <w:tc>
          <w:tcPr>
            <w:tcW w:w="4725" w:type="dxa"/>
            <w:shd w:val="clear" w:color="auto" w:fill="auto"/>
            <w:tcMar>
              <w:top w:w="100" w:type="dxa"/>
              <w:left w:w="100" w:type="dxa"/>
              <w:bottom w:w="100" w:type="dxa"/>
              <w:right w:w="100" w:type="dxa"/>
            </w:tcMar>
          </w:tcPr>
          <w:p w14:paraId="75D26580" w14:textId="77777777" w:rsidR="00775048" w:rsidRDefault="00E50195">
            <w:pPr>
              <w:widowControl w:val="0"/>
              <w:spacing w:line="240" w:lineRule="auto"/>
              <w:rPr>
                <w:b/>
              </w:rPr>
            </w:pPr>
            <w:r>
              <w:rPr>
                <w:b/>
              </w:rPr>
              <w:t>Vaccine</w:t>
            </w:r>
          </w:p>
        </w:tc>
        <w:tc>
          <w:tcPr>
            <w:tcW w:w="4635" w:type="dxa"/>
            <w:shd w:val="clear" w:color="auto" w:fill="auto"/>
            <w:tcMar>
              <w:top w:w="100" w:type="dxa"/>
              <w:left w:w="100" w:type="dxa"/>
              <w:bottom w:w="100" w:type="dxa"/>
              <w:right w:w="100" w:type="dxa"/>
            </w:tcMar>
          </w:tcPr>
          <w:p w14:paraId="238CCF98" w14:textId="77777777" w:rsidR="00775048" w:rsidRDefault="00E50195">
            <w:pPr>
              <w:widowControl w:val="0"/>
              <w:spacing w:line="240" w:lineRule="auto"/>
              <w:rPr>
                <w:b/>
              </w:rPr>
            </w:pPr>
            <w:r>
              <w:rPr>
                <w:b/>
              </w:rPr>
              <w:t>Ages (number of doses)</w:t>
            </w:r>
          </w:p>
        </w:tc>
      </w:tr>
      <w:tr w:rsidR="00775048" w14:paraId="73C93C0E" w14:textId="77777777">
        <w:tc>
          <w:tcPr>
            <w:tcW w:w="4725" w:type="dxa"/>
            <w:shd w:val="clear" w:color="auto" w:fill="auto"/>
            <w:tcMar>
              <w:top w:w="100" w:type="dxa"/>
              <w:left w:w="100" w:type="dxa"/>
              <w:bottom w:w="100" w:type="dxa"/>
              <w:right w:w="100" w:type="dxa"/>
            </w:tcMar>
          </w:tcPr>
          <w:p w14:paraId="0EC126B6" w14:textId="77777777" w:rsidR="00775048" w:rsidRDefault="00E50195">
            <w:pPr>
              <w:widowControl w:val="0"/>
              <w:spacing w:line="216" w:lineRule="auto"/>
            </w:pPr>
            <w:r>
              <w:t>Hepatitis B</w:t>
            </w:r>
          </w:p>
        </w:tc>
        <w:tc>
          <w:tcPr>
            <w:tcW w:w="4635" w:type="dxa"/>
            <w:shd w:val="clear" w:color="auto" w:fill="auto"/>
            <w:tcMar>
              <w:top w:w="100" w:type="dxa"/>
              <w:left w:w="100" w:type="dxa"/>
              <w:bottom w:w="100" w:type="dxa"/>
              <w:right w:w="100" w:type="dxa"/>
            </w:tcMar>
          </w:tcPr>
          <w:p w14:paraId="22F6DEAC" w14:textId="77777777" w:rsidR="00775048" w:rsidRDefault="00E50195">
            <w:pPr>
              <w:widowControl w:val="0"/>
              <w:spacing w:line="216" w:lineRule="auto"/>
            </w:pPr>
            <w:r>
              <w:t>Birth-18 months (3)</w:t>
            </w:r>
          </w:p>
        </w:tc>
      </w:tr>
      <w:tr w:rsidR="00775048" w14:paraId="5946386E" w14:textId="77777777">
        <w:tc>
          <w:tcPr>
            <w:tcW w:w="4725" w:type="dxa"/>
            <w:shd w:val="clear" w:color="auto" w:fill="auto"/>
            <w:tcMar>
              <w:top w:w="100" w:type="dxa"/>
              <w:left w:w="100" w:type="dxa"/>
              <w:bottom w:w="100" w:type="dxa"/>
              <w:right w:w="100" w:type="dxa"/>
            </w:tcMar>
          </w:tcPr>
          <w:p w14:paraId="410545CC" w14:textId="77777777" w:rsidR="00775048" w:rsidRDefault="00E50195">
            <w:pPr>
              <w:widowControl w:val="0"/>
              <w:spacing w:line="216" w:lineRule="auto"/>
            </w:pPr>
            <w:r>
              <w:t>Diphtheria, tetanus and pertussis (DTaP)</w:t>
            </w:r>
          </w:p>
        </w:tc>
        <w:tc>
          <w:tcPr>
            <w:tcW w:w="4635" w:type="dxa"/>
            <w:shd w:val="clear" w:color="auto" w:fill="auto"/>
            <w:tcMar>
              <w:top w:w="100" w:type="dxa"/>
              <w:left w:w="100" w:type="dxa"/>
              <w:bottom w:w="100" w:type="dxa"/>
              <w:right w:w="100" w:type="dxa"/>
            </w:tcMar>
          </w:tcPr>
          <w:p w14:paraId="025385F2" w14:textId="77777777" w:rsidR="00775048" w:rsidRDefault="00E50195">
            <w:pPr>
              <w:widowControl w:val="0"/>
              <w:spacing w:line="216" w:lineRule="auto"/>
            </w:pPr>
            <w:r>
              <w:t>2-18 months (4); 4-6 years (1)</w:t>
            </w:r>
          </w:p>
        </w:tc>
      </w:tr>
      <w:tr w:rsidR="00775048" w14:paraId="1C7A82BD" w14:textId="77777777">
        <w:tc>
          <w:tcPr>
            <w:tcW w:w="4725" w:type="dxa"/>
            <w:shd w:val="clear" w:color="auto" w:fill="auto"/>
            <w:tcMar>
              <w:top w:w="100" w:type="dxa"/>
              <w:left w:w="100" w:type="dxa"/>
              <w:bottom w:w="100" w:type="dxa"/>
              <w:right w:w="100" w:type="dxa"/>
            </w:tcMar>
          </w:tcPr>
          <w:p w14:paraId="75EFB18C" w14:textId="77777777" w:rsidR="00775048" w:rsidRDefault="00E50195">
            <w:pPr>
              <w:widowControl w:val="0"/>
              <w:spacing w:line="216" w:lineRule="auto"/>
            </w:pPr>
            <w:r>
              <w:rPr>
                <w:i/>
              </w:rPr>
              <w:t xml:space="preserve">Haemophilus influenza </w:t>
            </w:r>
            <w:r>
              <w:t>type b</w:t>
            </w:r>
          </w:p>
        </w:tc>
        <w:tc>
          <w:tcPr>
            <w:tcW w:w="4635" w:type="dxa"/>
            <w:shd w:val="clear" w:color="auto" w:fill="auto"/>
            <w:tcMar>
              <w:top w:w="100" w:type="dxa"/>
              <w:left w:w="100" w:type="dxa"/>
              <w:bottom w:w="100" w:type="dxa"/>
              <w:right w:w="100" w:type="dxa"/>
            </w:tcMar>
          </w:tcPr>
          <w:p w14:paraId="077B33AF" w14:textId="77777777" w:rsidR="00775048" w:rsidRDefault="00E50195">
            <w:pPr>
              <w:widowControl w:val="0"/>
              <w:spacing w:line="216" w:lineRule="auto"/>
            </w:pPr>
            <w:r>
              <w:t>2-5 months (3 or 4)</w:t>
            </w:r>
          </w:p>
        </w:tc>
      </w:tr>
      <w:tr w:rsidR="00775048" w14:paraId="58600F98" w14:textId="77777777">
        <w:tc>
          <w:tcPr>
            <w:tcW w:w="4725" w:type="dxa"/>
            <w:shd w:val="clear" w:color="auto" w:fill="auto"/>
            <w:tcMar>
              <w:top w:w="100" w:type="dxa"/>
              <w:left w:w="100" w:type="dxa"/>
              <w:bottom w:w="100" w:type="dxa"/>
              <w:right w:w="100" w:type="dxa"/>
            </w:tcMar>
          </w:tcPr>
          <w:p w14:paraId="22F64F0C" w14:textId="77777777" w:rsidR="00775048" w:rsidRDefault="00E50195">
            <w:pPr>
              <w:widowControl w:val="0"/>
              <w:spacing w:line="216" w:lineRule="auto"/>
            </w:pPr>
            <w:r>
              <w:t>Pneumococcal conjugate</w:t>
            </w:r>
          </w:p>
        </w:tc>
        <w:tc>
          <w:tcPr>
            <w:tcW w:w="4635" w:type="dxa"/>
            <w:shd w:val="clear" w:color="auto" w:fill="auto"/>
            <w:tcMar>
              <w:top w:w="100" w:type="dxa"/>
              <w:left w:w="100" w:type="dxa"/>
              <w:bottom w:w="100" w:type="dxa"/>
              <w:right w:w="100" w:type="dxa"/>
            </w:tcMar>
          </w:tcPr>
          <w:p w14:paraId="5E4356A6" w14:textId="77777777" w:rsidR="00775048" w:rsidRDefault="00E50195">
            <w:pPr>
              <w:widowControl w:val="0"/>
              <w:spacing w:line="216" w:lineRule="auto"/>
            </w:pPr>
            <w:r>
              <w:t>2-15 months (4)</w:t>
            </w:r>
          </w:p>
        </w:tc>
      </w:tr>
      <w:tr w:rsidR="00775048" w14:paraId="54B70BF0" w14:textId="77777777">
        <w:tc>
          <w:tcPr>
            <w:tcW w:w="4725" w:type="dxa"/>
            <w:shd w:val="clear" w:color="auto" w:fill="auto"/>
            <w:tcMar>
              <w:top w:w="100" w:type="dxa"/>
              <w:left w:w="100" w:type="dxa"/>
              <w:bottom w:w="100" w:type="dxa"/>
              <w:right w:w="100" w:type="dxa"/>
            </w:tcMar>
          </w:tcPr>
          <w:p w14:paraId="78432CA2" w14:textId="77777777" w:rsidR="00775048" w:rsidRDefault="00E50195">
            <w:pPr>
              <w:widowControl w:val="0"/>
              <w:spacing w:line="216" w:lineRule="auto"/>
            </w:pPr>
            <w:r>
              <w:t>Inactivated poliovirus</w:t>
            </w:r>
          </w:p>
        </w:tc>
        <w:tc>
          <w:tcPr>
            <w:tcW w:w="4635" w:type="dxa"/>
            <w:shd w:val="clear" w:color="auto" w:fill="auto"/>
            <w:tcMar>
              <w:top w:w="100" w:type="dxa"/>
              <w:left w:w="100" w:type="dxa"/>
              <w:bottom w:w="100" w:type="dxa"/>
              <w:right w:w="100" w:type="dxa"/>
            </w:tcMar>
          </w:tcPr>
          <w:p w14:paraId="44142AB4" w14:textId="77777777" w:rsidR="00775048" w:rsidRDefault="00E50195">
            <w:pPr>
              <w:widowControl w:val="0"/>
              <w:spacing w:line="216" w:lineRule="auto"/>
            </w:pPr>
            <w:r>
              <w:t>2-18 months (3); 4-6 years (1)</w:t>
            </w:r>
          </w:p>
        </w:tc>
      </w:tr>
      <w:tr w:rsidR="00775048" w14:paraId="3100E49C" w14:textId="77777777">
        <w:tc>
          <w:tcPr>
            <w:tcW w:w="4725" w:type="dxa"/>
            <w:shd w:val="clear" w:color="auto" w:fill="auto"/>
            <w:tcMar>
              <w:top w:w="100" w:type="dxa"/>
              <w:left w:w="100" w:type="dxa"/>
              <w:bottom w:w="100" w:type="dxa"/>
              <w:right w:w="100" w:type="dxa"/>
            </w:tcMar>
          </w:tcPr>
          <w:p w14:paraId="0D51DA25" w14:textId="77777777" w:rsidR="00775048" w:rsidRDefault="00E50195">
            <w:pPr>
              <w:widowControl w:val="0"/>
              <w:spacing w:line="216" w:lineRule="auto"/>
            </w:pPr>
            <w:r>
              <w:t>Influenza</w:t>
            </w:r>
          </w:p>
        </w:tc>
        <w:tc>
          <w:tcPr>
            <w:tcW w:w="4635" w:type="dxa"/>
            <w:shd w:val="clear" w:color="auto" w:fill="auto"/>
            <w:tcMar>
              <w:top w:w="100" w:type="dxa"/>
              <w:left w:w="100" w:type="dxa"/>
              <w:bottom w:w="100" w:type="dxa"/>
              <w:right w:w="100" w:type="dxa"/>
            </w:tcMar>
          </w:tcPr>
          <w:p w14:paraId="182A7CC2" w14:textId="77777777" w:rsidR="00775048" w:rsidRDefault="00E50195">
            <w:pPr>
              <w:widowControl w:val="0"/>
              <w:spacing w:line="216" w:lineRule="auto"/>
            </w:pPr>
            <w:r>
              <w:t>annual , 6 months</w:t>
            </w:r>
          </w:p>
        </w:tc>
      </w:tr>
      <w:tr w:rsidR="00775048" w14:paraId="208DF7DB" w14:textId="77777777">
        <w:tc>
          <w:tcPr>
            <w:tcW w:w="4725" w:type="dxa"/>
            <w:shd w:val="clear" w:color="auto" w:fill="auto"/>
            <w:tcMar>
              <w:top w:w="100" w:type="dxa"/>
              <w:left w:w="100" w:type="dxa"/>
              <w:bottom w:w="100" w:type="dxa"/>
              <w:right w:w="100" w:type="dxa"/>
            </w:tcMar>
          </w:tcPr>
          <w:p w14:paraId="0A4F0F1D" w14:textId="77777777" w:rsidR="00775048" w:rsidRDefault="00E50195">
            <w:pPr>
              <w:widowControl w:val="0"/>
              <w:spacing w:line="216" w:lineRule="auto"/>
            </w:pPr>
            <w:r>
              <w:t>Measles, mumps, rubella</w:t>
            </w:r>
          </w:p>
        </w:tc>
        <w:tc>
          <w:tcPr>
            <w:tcW w:w="4635" w:type="dxa"/>
            <w:shd w:val="clear" w:color="auto" w:fill="auto"/>
            <w:tcMar>
              <w:top w:w="100" w:type="dxa"/>
              <w:left w:w="100" w:type="dxa"/>
              <w:bottom w:w="100" w:type="dxa"/>
              <w:right w:w="100" w:type="dxa"/>
            </w:tcMar>
          </w:tcPr>
          <w:p w14:paraId="1603883B" w14:textId="77777777" w:rsidR="00775048" w:rsidRDefault="00E50195">
            <w:pPr>
              <w:widowControl w:val="0"/>
              <w:spacing w:line="216" w:lineRule="auto"/>
            </w:pPr>
            <w:r>
              <w:t>12-15 months (1); 4-6 years (1)</w:t>
            </w:r>
          </w:p>
        </w:tc>
      </w:tr>
      <w:tr w:rsidR="00775048" w14:paraId="5F33FCA8" w14:textId="77777777">
        <w:tc>
          <w:tcPr>
            <w:tcW w:w="4725" w:type="dxa"/>
            <w:shd w:val="clear" w:color="auto" w:fill="auto"/>
            <w:tcMar>
              <w:top w:w="100" w:type="dxa"/>
              <w:left w:w="100" w:type="dxa"/>
              <w:bottom w:w="100" w:type="dxa"/>
              <w:right w:w="100" w:type="dxa"/>
            </w:tcMar>
          </w:tcPr>
          <w:p w14:paraId="6BB18577" w14:textId="77777777" w:rsidR="00775048" w:rsidRDefault="00E50195">
            <w:pPr>
              <w:widowControl w:val="0"/>
              <w:spacing w:line="216" w:lineRule="auto"/>
            </w:pPr>
            <w:r>
              <w:t xml:space="preserve">Meningococcal </w:t>
            </w:r>
          </w:p>
        </w:tc>
        <w:tc>
          <w:tcPr>
            <w:tcW w:w="4635" w:type="dxa"/>
            <w:shd w:val="clear" w:color="auto" w:fill="auto"/>
            <w:tcMar>
              <w:top w:w="100" w:type="dxa"/>
              <w:left w:w="100" w:type="dxa"/>
              <w:bottom w:w="100" w:type="dxa"/>
              <w:right w:w="100" w:type="dxa"/>
            </w:tcMar>
          </w:tcPr>
          <w:p w14:paraId="145A1713" w14:textId="77777777" w:rsidR="00775048" w:rsidRDefault="00E50195">
            <w:pPr>
              <w:widowControl w:val="0"/>
              <w:spacing w:line="216" w:lineRule="auto"/>
            </w:pPr>
            <w:r>
              <w:t>11-12 years (1); 16 years (1)</w:t>
            </w:r>
          </w:p>
        </w:tc>
      </w:tr>
      <w:tr w:rsidR="00775048" w14:paraId="304D9C96" w14:textId="77777777">
        <w:tc>
          <w:tcPr>
            <w:tcW w:w="4725" w:type="dxa"/>
            <w:shd w:val="clear" w:color="auto" w:fill="auto"/>
            <w:tcMar>
              <w:top w:w="100" w:type="dxa"/>
              <w:left w:w="100" w:type="dxa"/>
              <w:bottom w:w="100" w:type="dxa"/>
              <w:right w:w="100" w:type="dxa"/>
            </w:tcMar>
          </w:tcPr>
          <w:p w14:paraId="4ADB28AF" w14:textId="77777777" w:rsidR="00775048" w:rsidRDefault="00E50195">
            <w:pPr>
              <w:widowControl w:val="0"/>
              <w:spacing w:line="216" w:lineRule="auto"/>
            </w:pPr>
            <w:r>
              <w:t>Human papillomavirus</w:t>
            </w:r>
          </w:p>
        </w:tc>
        <w:tc>
          <w:tcPr>
            <w:tcW w:w="4635" w:type="dxa"/>
            <w:shd w:val="clear" w:color="auto" w:fill="auto"/>
            <w:tcMar>
              <w:top w:w="100" w:type="dxa"/>
              <w:left w:w="100" w:type="dxa"/>
              <w:bottom w:w="100" w:type="dxa"/>
              <w:right w:w="100" w:type="dxa"/>
            </w:tcMar>
          </w:tcPr>
          <w:p w14:paraId="54B49F3C" w14:textId="77777777" w:rsidR="00775048" w:rsidRDefault="00E50195">
            <w:pPr>
              <w:widowControl w:val="0"/>
              <w:spacing w:line="216" w:lineRule="auto"/>
            </w:pPr>
            <w:r>
              <w:t>11-12 years (1)</w:t>
            </w:r>
          </w:p>
        </w:tc>
      </w:tr>
    </w:tbl>
    <w:p w14:paraId="4FB10F03" w14:textId="77777777" w:rsidR="00775048" w:rsidRDefault="00775048"/>
    <w:p w14:paraId="5699BE0E" w14:textId="206DAA3E" w:rsidR="00775048" w:rsidRDefault="00E50195">
      <w:pPr>
        <w:rPr>
          <w:color w:val="0000FF"/>
        </w:rPr>
      </w:pPr>
      <w:r>
        <w:t xml:space="preserve">One new approach to vaccination is the use of a specific mRNA molecule instead of a protein or virus as the agent introduced into a patient.  One of the first vaccination trials using this new approach to elicit immunization against COVID-19 started even before the major outbreak of COVID-19 in the United States.  The company </w:t>
      </w:r>
      <w:hyperlink r:id="rId19" w:history="1">
        <w:r w:rsidRPr="005C52E1">
          <w:rPr>
            <w:rStyle w:val="Hyperlink"/>
          </w:rPr>
          <w:t>Moderna</w:t>
        </w:r>
      </w:hyperlink>
      <w:r>
        <w:t xml:space="preserve"> began producing an mRNA drug that encodes the viral SARS-CoV-2 Spike (S) glycoprotein.  The delivery of the drug, through </w:t>
      </w:r>
      <w:r w:rsidR="002625DC">
        <w:t xml:space="preserve">lipid </w:t>
      </w:r>
      <w:r>
        <w:t xml:space="preserve">vesicles to lymph nodes, allows the patient cells to produce the Spike protein on the surface of the cell and develop immunity.  For an overview of this process, watch this </w:t>
      </w:r>
      <w:hyperlink r:id="rId20">
        <w:r>
          <w:rPr>
            <w:color w:val="0000FF"/>
            <w:u w:val="single"/>
          </w:rPr>
          <w:t>Moderna video</w:t>
        </w:r>
      </w:hyperlink>
      <w:r>
        <w:rPr>
          <w:color w:val="0000FF"/>
        </w:rPr>
        <w:t>.</w:t>
      </w:r>
    </w:p>
    <w:p w14:paraId="631D025D" w14:textId="77777777" w:rsidR="00775048" w:rsidRDefault="00775048"/>
    <w:p w14:paraId="6AF09D79" w14:textId="77777777" w:rsidR="00775048" w:rsidRDefault="00E50195">
      <w:r>
        <w:rPr>
          <w:b/>
        </w:rPr>
        <w:t>Questions:</w:t>
      </w:r>
    </w:p>
    <w:p w14:paraId="2BD6162E" w14:textId="77777777" w:rsidR="00775048" w:rsidRDefault="00E50195">
      <w:pPr>
        <w:numPr>
          <w:ilvl w:val="0"/>
          <w:numId w:val="1"/>
        </w:numPr>
      </w:pPr>
      <w:r>
        <w:t>What are some advantages and disadvantages of using repurposed drugs, antibodies and vaccines in an outbreak?</w:t>
      </w:r>
    </w:p>
    <w:p w14:paraId="4F1DB9DA" w14:textId="36F48018" w:rsidR="00775048" w:rsidRDefault="00E50195">
      <w:pPr>
        <w:numPr>
          <w:ilvl w:val="0"/>
          <w:numId w:val="1"/>
        </w:numPr>
      </w:pPr>
      <w:r>
        <w:t>What are some of the cellular or viral targets for the repurposed drugs (see your completed Table 1)?</w:t>
      </w:r>
      <w:r w:rsidR="00A71B7D">
        <w:t xml:space="preserve">  Why might someone choose to test one of these drugs?</w:t>
      </w:r>
    </w:p>
    <w:p w14:paraId="426FC38D" w14:textId="77777777" w:rsidR="00775048" w:rsidRDefault="00E50195">
      <w:pPr>
        <w:numPr>
          <w:ilvl w:val="0"/>
          <w:numId w:val="1"/>
        </w:numPr>
      </w:pPr>
      <w:r>
        <w:t xml:space="preserve">How do you think scientists and doctors determined which repurposed drugs might be effective in testing against SARS-CoV-2?  </w:t>
      </w:r>
      <w:r>
        <w:rPr>
          <w:i/>
        </w:rPr>
        <w:t>Think about the purpose that the drugs serve in treating the approved disease from Table 1.</w:t>
      </w:r>
    </w:p>
    <w:p w14:paraId="54ADCC84" w14:textId="77777777" w:rsidR="00775048" w:rsidRDefault="00E50195">
      <w:pPr>
        <w:numPr>
          <w:ilvl w:val="0"/>
          <w:numId w:val="1"/>
        </w:numPr>
      </w:pPr>
      <w:r>
        <w:t>Why is it recommended that you receive a seasonal influenza vaccination each year?</w:t>
      </w:r>
    </w:p>
    <w:p w14:paraId="2A8BCB0E" w14:textId="77777777" w:rsidR="00775048" w:rsidRDefault="00E50195">
      <w:pPr>
        <w:numPr>
          <w:ilvl w:val="0"/>
          <w:numId w:val="1"/>
        </w:numPr>
      </w:pPr>
      <w:r>
        <w:t>How might the approach by Moderna (injecting mRNA) speed up the process of vaccination?  How will the B-cell use the mRNA to produce and present the Spike protein?</w:t>
      </w:r>
    </w:p>
    <w:p w14:paraId="4FF9AF87" w14:textId="77777777" w:rsidR="00775048" w:rsidRDefault="00775048"/>
    <w:sectPr w:rsidR="00775048">
      <w:headerReference w:type="default" r:id="rId21"/>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8C6FA" w14:textId="77777777" w:rsidR="00C6415C" w:rsidRDefault="00C6415C">
      <w:pPr>
        <w:spacing w:line="240" w:lineRule="auto"/>
      </w:pPr>
      <w:r>
        <w:separator/>
      </w:r>
    </w:p>
  </w:endnote>
  <w:endnote w:type="continuationSeparator" w:id="0">
    <w:p w14:paraId="165F849F" w14:textId="77777777" w:rsidR="00C6415C" w:rsidRDefault="00C641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254E6" w14:textId="77777777" w:rsidR="00775048" w:rsidRDefault="00E50195">
    <w:pPr>
      <w:jc w:val="center"/>
    </w:pPr>
    <w:r>
      <w:t xml:space="preserve">Page </w:t>
    </w:r>
    <w:r>
      <w:fldChar w:fldCharType="begin"/>
    </w:r>
    <w:r>
      <w:instrText>PAGE</w:instrText>
    </w:r>
    <w:r>
      <w:fldChar w:fldCharType="separate"/>
    </w:r>
    <w:r w:rsidR="00CB7B9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EACD5C" w14:textId="77777777" w:rsidR="00C6415C" w:rsidRDefault="00C6415C">
      <w:pPr>
        <w:spacing w:line="240" w:lineRule="auto"/>
      </w:pPr>
      <w:r>
        <w:separator/>
      </w:r>
    </w:p>
  </w:footnote>
  <w:footnote w:type="continuationSeparator" w:id="0">
    <w:p w14:paraId="401D2E59" w14:textId="77777777" w:rsidR="00C6415C" w:rsidRDefault="00C641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841EC" w14:textId="145929E8" w:rsidR="00775048" w:rsidRDefault="00E50195">
    <w:pPr>
      <w:rPr>
        <w:rFonts w:ascii="Cambria" w:eastAsia="Cambria" w:hAnsi="Cambria" w:cs="Cambria"/>
        <w:b/>
        <w:sz w:val="20"/>
        <w:szCs w:val="20"/>
      </w:rPr>
    </w:pPr>
    <w:r>
      <w:rPr>
        <w:rFonts w:ascii="Cambria" w:eastAsia="Cambria" w:hAnsi="Cambria" w:cs="Cambria"/>
        <w:b/>
        <w:sz w:val="20"/>
        <w:szCs w:val="20"/>
      </w:rPr>
      <w:t xml:space="preserve">Title:  </w:t>
    </w:r>
    <w:r>
      <w:rPr>
        <w:rFonts w:ascii="Cambria" w:eastAsia="Cambria" w:hAnsi="Cambria" w:cs="Cambria"/>
        <w:b/>
        <w:color w:val="222222"/>
        <w:sz w:val="20"/>
        <w:szCs w:val="20"/>
        <w:highlight w:val="white"/>
      </w:rPr>
      <w:t>Understanding COVID-19 Biology to Design a Vaccine</w:t>
    </w:r>
    <w:r>
      <w:rPr>
        <w:rFonts w:ascii="Cambria" w:eastAsia="Cambria" w:hAnsi="Cambria" w:cs="Cambria"/>
        <w:b/>
        <w:color w:val="222222"/>
        <w:sz w:val="20"/>
        <w:szCs w:val="20"/>
        <w:highlight w:val="white"/>
      </w:rPr>
      <w:tab/>
    </w:r>
    <w:r>
      <w:rPr>
        <w:sz w:val="20"/>
        <w:szCs w:val="20"/>
      </w:rPr>
      <w:t>Johnson, Vardar-Ulu and D</w:t>
    </w:r>
    <w:r w:rsidR="00D246A0">
      <w:rPr>
        <w:sz w:val="20"/>
        <w:szCs w:val="20"/>
      </w:rPr>
      <w:t>u</w:t>
    </w:r>
    <w:r>
      <w:rPr>
        <w:sz w:val="20"/>
        <w:szCs w:val="20"/>
      </w:rPr>
      <w:t>tta (2020)</w:t>
    </w:r>
  </w:p>
  <w:p w14:paraId="3305D21A" w14:textId="73BD6F02" w:rsidR="00775048" w:rsidRDefault="007750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0851C3"/>
    <w:multiLevelType w:val="multilevel"/>
    <w:tmpl w:val="CE2ADB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048"/>
    <w:rsid w:val="002625DC"/>
    <w:rsid w:val="00351EEA"/>
    <w:rsid w:val="003A1A29"/>
    <w:rsid w:val="005432F5"/>
    <w:rsid w:val="005A3D48"/>
    <w:rsid w:val="005C52E1"/>
    <w:rsid w:val="0064014D"/>
    <w:rsid w:val="006461FA"/>
    <w:rsid w:val="00646DA4"/>
    <w:rsid w:val="00775048"/>
    <w:rsid w:val="00A71B7D"/>
    <w:rsid w:val="00B43C57"/>
    <w:rsid w:val="00C6415C"/>
    <w:rsid w:val="00CB7B92"/>
    <w:rsid w:val="00D246A0"/>
    <w:rsid w:val="00E50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70928E"/>
  <w15:docId w15:val="{1301E552-2184-2B45-94DC-15759A371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646DA4"/>
    <w:rPr>
      <w:sz w:val="16"/>
      <w:szCs w:val="16"/>
    </w:rPr>
  </w:style>
  <w:style w:type="paragraph" w:styleId="CommentText">
    <w:name w:val="annotation text"/>
    <w:basedOn w:val="Normal"/>
    <w:link w:val="CommentTextChar"/>
    <w:uiPriority w:val="99"/>
    <w:semiHidden/>
    <w:unhideWhenUsed/>
    <w:rsid w:val="00646DA4"/>
    <w:pPr>
      <w:spacing w:line="240" w:lineRule="auto"/>
    </w:pPr>
    <w:rPr>
      <w:sz w:val="20"/>
      <w:szCs w:val="20"/>
    </w:rPr>
  </w:style>
  <w:style w:type="character" w:customStyle="1" w:styleId="CommentTextChar">
    <w:name w:val="Comment Text Char"/>
    <w:basedOn w:val="DefaultParagraphFont"/>
    <w:link w:val="CommentText"/>
    <w:uiPriority w:val="99"/>
    <w:semiHidden/>
    <w:rsid w:val="00646DA4"/>
    <w:rPr>
      <w:sz w:val="20"/>
      <w:szCs w:val="20"/>
    </w:rPr>
  </w:style>
  <w:style w:type="paragraph" w:styleId="CommentSubject">
    <w:name w:val="annotation subject"/>
    <w:basedOn w:val="CommentText"/>
    <w:next w:val="CommentText"/>
    <w:link w:val="CommentSubjectChar"/>
    <w:uiPriority w:val="99"/>
    <w:semiHidden/>
    <w:unhideWhenUsed/>
    <w:rsid w:val="00646DA4"/>
    <w:rPr>
      <w:b/>
      <w:bCs/>
    </w:rPr>
  </w:style>
  <w:style w:type="character" w:customStyle="1" w:styleId="CommentSubjectChar">
    <w:name w:val="Comment Subject Char"/>
    <w:basedOn w:val="CommentTextChar"/>
    <w:link w:val="CommentSubject"/>
    <w:uiPriority w:val="99"/>
    <w:semiHidden/>
    <w:rsid w:val="00646DA4"/>
    <w:rPr>
      <w:b/>
      <w:bCs/>
      <w:sz w:val="20"/>
      <w:szCs w:val="20"/>
    </w:rPr>
  </w:style>
  <w:style w:type="paragraph" w:styleId="BalloonText">
    <w:name w:val="Balloon Text"/>
    <w:basedOn w:val="Normal"/>
    <w:link w:val="BalloonTextChar"/>
    <w:uiPriority w:val="99"/>
    <w:semiHidden/>
    <w:unhideWhenUsed/>
    <w:rsid w:val="00646DA4"/>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46DA4"/>
    <w:rPr>
      <w:rFonts w:ascii="Times New Roman" w:hAnsi="Times New Roman" w:cs="Times New Roman"/>
      <w:sz w:val="18"/>
      <w:szCs w:val="18"/>
    </w:rPr>
  </w:style>
  <w:style w:type="paragraph" w:styleId="Header">
    <w:name w:val="header"/>
    <w:basedOn w:val="Normal"/>
    <w:link w:val="HeaderChar"/>
    <w:uiPriority w:val="99"/>
    <w:unhideWhenUsed/>
    <w:rsid w:val="00D246A0"/>
    <w:pPr>
      <w:tabs>
        <w:tab w:val="center" w:pos="4680"/>
        <w:tab w:val="right" w:pos="9360"/>
      </w:tabs>
      <w:spacing w:line="240" w:lineRule="auto"/>
    </w:pPr>
  </w:style>
  <w:style w:type="character" w:customStyle="1" w:styleId="HeaderChar">
    <w:name w:val="Header Char"/>
    <w:basedOn w:val="DefaultParagraphFont"/>
    <w:link w:val="Header"/>
    <w:uiPriority w:val="99"/>
    <w:rsid w:val="00D246A0"/>
  </w:style>
  <w:style w:type="paragraph" w:styleId="Footer">
    <w:name w:val="footer"/>
    <w:basedOn w:val="Normal"/>
    <w:link w:val="FooterChar"/>
    <w:uiPriority w:val="99"/>
    <w:unhideWhenUsed/>
    <w:rsid w:val="00D246A0"/>
    <w:pPr>
      <w:tabs>
        <w:tab w:val="center" w:pos="4680"/>
        <w:tab w:val="right" w:pos="9360"/>
      </w:tabs>
      <w:spacing w:line="240" w:lineRule="auto"/>
    </w:pPr>
  </w:style>
  <w:style w:type="character" w:customStyle="1" w:styleId="FooterChar">
    <w:name w:val="Footer Char"/>
    <w:basedOn w:val="DefaultParagraphFont"/>
    <w:link w:val="Footer"/>
    <w:uiPriority w:val="99"/>
    <w:rsid w:val="00D246A0"/>
  </w:style>
  <w:style w:type="character" w:styleId="Hyperlink">
    <w:name w:val="Hyperlink"/>
    <w:basedOn w:val="DefaultParagraphFont"/>
    <w:uiPriority w:val="99"/>
    <w:unhideWhenUsed/>
    <w:rsid w:val="005A3D48"/>
    <w:rPr>
      <w:color w:val="0000FF" w:themeColor="hyperlink"/>
      <w:u w:val="single"/>
    </w:rPr>
  </w:style>
  <w:style w:type="character" w:styleId="UnresolvedMention">
    <w:name w:val="Unresolved Mention"/>
    <w:basedOn w:val="DefaultParagraphFont"/>
    <w:uiPriority w:val="99"/>
    <w:semiHidden/>
    <w:unhideWhenUsed/>
    <w:rsid w:val="005A3D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72072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Lu1YSjGV-M&amp;feature=youtu.be" TargetMode="External"/><Relationship Id="rId13" Type="http://schemas.openxmlformats.org/officeDocument/2006/relationships/hyperlink" Target="https://milkeninstitute.org/sites/default/files/2020-03/Covid19%20Tracker%20032020v3-posting.pdf" TargetMode="External"/><Relationship Id="rId18" Type="http://schemas.openxmlformats.org/officeDocument/2006/relationships/hyperlink" Target="https://www.uspharmacist.com/article/childhood-vaccinations"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youtube.com/watch?v=eLu1YSjGV-M&amp;feature=youtu.be" TargetMode="External"/><Relationship Id="rId12" Type="http://schemas.openxmlformats.org/officeDocument/2006/relationships/hyperlink" Target="http://www.synbiobeta.org/COVID19" TargetMode="External"/><Relationship Id="rId17" Type="http://schemas.openxmlformats.org/officeDocument/2006/relationships/hyperlink" Target="https://vimeo.com/217903624" TargetMode="External"/><Relationship Id="rId2" Type="http://schemas.openxmlformats.org/officeDocument/2006/relationships/styles" Target="styles.xml"/><Relationship Id="rId16" Type="http://schemas.openxmlformats.org/officeDocument/2006/relationships/image" Target="media/image4.tiff"/><Relationship Id="rId20" Type="http://schemas.openxmlformats.org/officeDocument/2006/relationships/hyperlink" Target="https://www.youtube.com/watch?time_continue=54&amp;v=qJlP91xjvsQ&amp;feature=emb_log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synbiobeta.com/COVID19" TargetMode="External"/><Relationship Id="rId19" Type="http://schemas.openxmlformats.org/officeDocument/2006/relationships/hyperlink" Target="https://www.modernatx.com/"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drugbank.ca/"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1102</Words>
  <Characters>6286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Keith</cp:lastModifiedBy>
  <cp:revision>7</cp:revision>
  <dcterms:created xsi:type="dcterms:W3CDTF">2020-06-09T19:56:00Z</dcterms:created>
  <dcterms:modified xsi:type="dcterms:W3CDTF">2020-06-11T20:33:00Z</dcterms:modified>
</cp:coreProperties>
</file>