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B17C6A1" w:rsidR="00F4286F" w:rsidRDefault="000A6AAC">
      <w:pPr>
        <w:jc w:val="center"/>
        <w:rPr>
          <w:b/>
          <w:u w:val="single"/>
        </w:rPr>
      </w:pPr>
      <w:r>
        <w:rPr>
          <w:b/>
          <w:u w:val="single"/>
        </w:rPr>
        <w:t xml:space="preserve">Writing a </w:t>
      </w:r>
      <w:r w:rsidR="00564883">
        <w:rPr>
          <w:b/>
          <w:u w:val="single"/>
        </w:rPr>
        <w:t>Microbiology Resource Announcements</w:t>
      </w:r>
      <w:r>
        <w:rPr>
          <w:b/>
          <w:u w:val="single"/>
        </w:rPr>
        <w:t xml:space="preserve"> Process Details</w:t>
      </w:r>
    </w:p>
    <w:p w14:paraId="00000002" w14:textId="77777777" w:rsidR="00F4286F" w:rsidRDefault="000A6AAC" w:rsidP="00BE69F6">
      <w:pPr>
        <w:spacing w:after="120"/>
      </w:pPr>
      <w:r>
        <w:t xml:space="preserve"> </w:t>
      </w:r>
    </w:p>
    <w:p w14:paraId="00000003" w14:textId="77777777" w:rsidR="00F4286F" w:rsidRDefault="000A6AAC" w:rsidP="00BE69F6">
      <w:pPr>
        <w:spacing w:after="120"/>
        <w:rPr>
          <w:b/>
          <w:u w:val="single"/>
        </w:rPr>
      </w:pPr>
      <w:r>
        <w:rPr>
          <w:b/>
          <w:u w:val="single"/>
        </w:rPr>
        <w:t>Course Process</w:t>
      </w:r>
    </w:p>
    <w:p w14:paraId="00000004" w14:textId="77777777" w:rsidR="00F4286F" w:rsidRPr="00604982" w:rsidRDefault="000A6AAC" w:rsidP="00BE69F6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00000005" w14:textId="77777777" w:rsidR="00F4286F" w:rsidRPr="00604982" w:rsidRDefault="000A6AAC" w:rsidP="00BE69F6">
      <w:pPr>
        <w:numPr>
          <w:ilvl w:val="0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The assignment is discussed at the start of the semester as a major course outcome</w:t>
      </w:r>
    </w:p>
    <w:p w14:paraId="00000006" w14:textId="77777777" w:rsidR="00F4286F" w:rsidRPr="00604982" w:rsidRDefault="000A6AAC" w:rsidP="00BE69F6">
      <w:pPr>
        <w:numPr>
          <w:ilvl w:val="0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The assignment is optional and motivation is authorship (could also be part of the course grade or can be extra credit)</w:t>
      </w:r>
    </w:p>
    <w:p w14:paraId="00000007" w14:textId="77777777" w:rsidR="00F4286F" w:rsidRPr="00604982" w:rsidRDefault="000A6AAC" w:rsidP="00BE69F6">
      <w:pPr>
        <w:numPr>
          <w:ilvl w:val="0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After the genome/s are annotated, student receive a GA template that explains the content and word limits</w:t>
      </w:r>
    </w:p>
    <w:p w14:paraId="00000008" w14:textId="77777777" w:rsidR="00F4286F" w:rsidRPr="00604982" w:rsidRDefault="000A6AAC" w:rsidP="00BE69F6">
      <w:pPr>
        <w:numPr>
          <w:ilvl w:val="0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Students are given a deadline to complete their GA draft (timeline determined by faculty)</w:t>
      </w:r>
    </w:p>
    <w:p w14:paraId="00000009" w14:textId="77777777" w:rsidR="00F4286F" w:rsidRPr="00604982" w:rsidRDefault="000A6AAC" w:rsidP="00BE69F6">
      <w:pPr>
        <w:numPr>
          <w:ilvl w:val="0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Students then complete peer review of all submissions and determine consistencies and novel findings (students highlight best/favorite components in each other’s work)</w:t>
      </w:r>
    </w:p>
    <w:p w14:paraId="0000000A" w14:textId="77777777" w:rsidR="00F4286F" w:rsidRPr="00604982" w:rsidRDefault="000A6AAC" w:rsidP="00BE69F6">
      <w:pPr>
        <w:numPr>
          <w:ilvl w:val="1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Alternatively, if the GA is for a class grade both the faculty and students can evaluate the drafts and provide feedback</w:t>
      </w:r>
    </w:p>
    <w:p w14:paraId="0000000B" w14:textId="77777777" w:rsidR="00F4286F" w:rsidRPr="00604982" w:rsidRDefault="000A6AAC" w:rsidP="00BE69F6">
      <w:pPr>
        <w:numPr>
          <w:ilvl w:val="1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Give points for peer reviews</w:t>
      </w:r>
    </w:p>
    <w:p w14:paraId="0000000C" w14:textId="2608BBC6" w:rsidR="00F4286F" w:rsidRPr="00604982" w:rsidRDefault="000A6AAC" w:rsidP="00BE69F6">
      <w:pPr>
        <w:numPr>
          <w:ilvl w:val="0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The class then comes together to finalize the GA (can do it in a commonly shared Google docs document)</w:t>
      </w:r>
    </w:p>
    <w:p w14:paraId="3818505B" w14:textId="2CC83DB8" w:rsidR="00BE69F6" w:rsidRPr="00604982" w:rsidRDefault="00BE69F6" w:rsidP="00BE69F6">
      <w:pPr>
        <w:numPr>
          <w:ilvl w:val="0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Faculty communicate with the University of Pittsburgh about the intent to complete the MRA (see below)</w:t>
      </w:r>
    </w:p>
    <w:p w14:paraId="0000000D" w14:textId="77777777" w:rsidR="00F4286F" w:rsidRPr="00604982" w:rsidRDefault="000A6AAC" w:rsidP="00BE69F6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7B98BDDD" w14:textId="5AC9BC25" w:rsidR="006D5B6B" w:rsidRPr="00604982" w:rsidRDefault="006D5B6B" w:rsidP="00BE69F6">
      <w:pPr>
        <w:spacing w:after="120"/>
        <w:rPr>
          <w:b/>
          <w:color w:val="4E4E4E"/>
          <w:u w:val="single"/>
        </w:rPr>
      </w:pPr>
      <w:r w:rsidRPr="00604982">
        <w:rPr>
          <w:b/>
          <w:color w:val="4E4E4E"/>
          <w:u w:val="single"/>
        </w:rPr>
        <w:t xml:space="preserve">University of Pittsburgh </w:t>
      </w:r>
      <w:r w:rsidR="00BE69F6" w:rsidRPr="00604982">
        <w:rPr>
          <w:b/>
          <w:color w:val="4E4E4E"/>
          <w:u w:val="single"/>
        </w:rPr>
        <w:t xml:space="preserve">Notices and </w:t>
      </w:r>
      <w:r w:rsidRPr="00604982">
        <w:rPr>
          <w:b/>
          <w:color w:val="4E4E4E"/>
          <w:u w:val="single"/>
        </w:rPr>
        <w:t>Resources Needed</w:t>
      </w:r>
    </w:p>
    <w:p w14:paraId="2BCBD7E7" w14:textId="77777777" w:rsidR="009C3318" w:rsidRPr="00604982" w:rsidRDefault="009C3318" w:rsidP="00BE69F6">
      <w:pPr>
        <w:spacing w:after="120"/>
        <w:rPr>
          <w:color w:val="4E4E4E"/>
        </w:rPr>
      </w:pPr>
    </w:p>
    <w:p w14:paraId="2F6AD7FD" w14:textId="0E3F013E" w:rsidR="006D5B6B" w:rsidRPr="00604982" w:rsidRDefault="009C3318" w:rsidP="00BE69F6">
      <w:pPr>
        <w:numPr>
          <w:ilvl w:val="0"/>
          <w:numId w:val="5"/>
        </w:numPr>
        <w:spacing w:after="120"/>
        <w:rPr>
          <w:color w:val="4E4E4E"/>
          <w:u w:val="single"/>
        </w:rPr>
      </w:pPr>
      <w:r w:rsidRPr="00604982">
        <w:rPr>
          <w:color w:val="4E4E4E"/>
        </w:rPr>
        <w:t xml:space="preserve">The MRA requires several pieces of information and links </w:t>
      </w:r>
      <w:r w:rsidR="00BE69F6" w:rsidRPr="00604982">
        <w:rPr>
          <w:color w:val="4E4E4E"/>
        </w:rPr>
        <w:t xml:space="preserve">that are </w:t>
      </w:r>
      <w:r w:rsidRPr="00604982">
        <w:rPr>
          <w:color w:val="4E4E4E"/>
        </w:rPr>
        <w:t xml:space="preserve">associated with the </w:t>
      </w:r>
      <w:proofErr w:type="spellStart"/>
      <w:r w:rsidRPr="00604982">
        <w:rPr>
          <w:color w:val="4E4E4E"/>
        </w:rPr>
        <w:t>Genbank</w:t>
      </w:r>
      <w:proofErr w:type="spellEnd"/>
      <w:r w:rsidRPr="00604982">
        <w:rPr>
          <w:color w:val="4E4E4E"/>
        </w:rPr>
        <w:t xml:space="preserve"> entry before the publication can be submitted:</w:t>
      </w:r>
    </w:p>
    <w:p w14:paraId="09F7D4F8" w14:textId="66724D58" w:rsidR="009C3318" w:rsidRPr="00604982" w:rsidRDefault="009C3318" w:rsidP="00BE69F6">
      <w:pPr>
        <w:numPr>
          <w:ilvl w:val="1"/>
          <w:numId w:val="5"/>
        </w:numPr>
        <w:spacing w:after="120"/>
        <w:rPr>
          <w:color w:val="4E4E4E"/>
        </w:rPr>
      </w:pPr>
      <w:proofErr w:type="spellStart"/>
      <w:r w:rsidRPr="00604982">
        <w:rPr>
          <w:color w:val="4E4E4E"/>
        </w:rPr>
        <w:t>Genbank</w:t>
      </w:r>
      <w:proofErr w:type="spellEnd"/>
      <w:r w:rsidRPr="00604982">
        <w:rPr>
          <w:color w:val="4E4E4E"/>
        </w:rPr>
        <w:t xml:space="preserve"> Accession number</w:t>
      </w:r>
    </w:p>
    <w:p w14:paraId="4A0E27AC" w14:textId="135980A1" w:rsidR="009C3318" w:rsidRPr="00604982" w:rsidRDefault="009C3318" w:rsidP="00BE69F6">
      <w:pPr>
        <w:numPr>
          <w:ilvl w:val="1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>SRA (Sequence Read Archive) of the sequencing data</w:t>
      </w:r>
    </w:p>
    <w:p w14:paraId="319CA0E5" w14:textId="6494EE27" w:rsidR="009C3318" w:rsidRPr="00604982" w:rsidRDefault="009C3318" w:rsidP="00BE69F6">
      <w:pPr>
        <w:numPr>
          <w:ilvl w:val="0"/>
          <w:numId w:val="5"/>
        </w:numPr>
        <w:spacing w:after="120"/>
        <w:rPr>
          <w:color w:val="4E4E4E"/>
          <w:u w:val="single"/>
        </w:rPr>
      </w:pPr>
      <w:r w:rsidRPr="00604982">
        <w:rPr>
          <w:color w:val="4E4E4E"/>
        </w:rPr>
        <w:t xml:space="preserve">These data are ONLY available </w:t>
      </w:r>
      <w:r w:rsidRPr="00604982">
        <w:rPr>
          <w:b/>
          <w:color w:val="4E4E4E"/>
          <w:u w:val="single"/>
        </w:rPr>
        <w:t>AFTER the annotation has passed QC</w:t>
      </w:r>
      <w:r w:rsidRPr="00604982">
        <w:rPr>
          <w:color w:val="4E4E4E"/>
        </w:rPr>
        <w:t xml:space="preserve"> and Debbie Jacobs-Sera and Dan Russell </w:t>
      </w:r>
      <w:r w:rsidRPr="00604982">
        <w:rPr>
          <w:b/>
          <w:color w:val="4E4E4E"/>
          <w:u w:val="single"/>
        </w:rPr>
        <w:t>have been notified</w:t>
      </w:r>
      <w:r w:rsidRPr="00604982">
        <w:rPr>
          <w:color w:val="4E4E4E"/>
        </w:rPr>
        <w:t xml:space="preserve"> that an MRA will be associated with the annotation</w:t>
      </w:r>
    </w:p>
    <w:p w14:paraId="40812FF3" w14:textId="5BACC775" w:rsidR="009C3318" w:rsidRPr="00604982" w:rsidRDefault="009C3318" w:rsidP="00BE69F6">
      <w:pPr>
        <w:numPr>
          <w:ilvl w:val="0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 xml:space="preserve">If the institution has </w:t>
      </w:r>
      <w:r w:rsidRPr="00604982">
        <w:rPr>
          <w:b/>
          <w:color w:val="4E4E4E"/>
          <w:u w:val="single"/>
        </w:rPr>
        <w:t>expedited submitter status</w:t>
      </w:r>
      <w:r w:rsidRPr="00604982">
        <w:rPr>
          <w:color w:val="4E4E4E"/>
        </w:rPr>
        <w:t xml:space="preserve">, it is possible to have the annotation submitted to </w:t>
      </w:r>
      <w:proofErr w:type="spellStart"/>
      <w:r w:rsidR="00604982" w:rsidRPr="00604982">
        <w:rPr>
          <w:color w:val="4E4E4E"/>
        </w:rPr>
        <w:t>Genbank</w:t>
      </w:r>
      <w:proofErr w:type="spellEnd"/>
      <w:r w:rsidRPr="00604982">
        <w:rPr>
          <w:color w:val="4E4E4E"/>
        </w:rPr>
        <w:t xml:space="preserve"> immediately after the </w:t>
      </w:r>
      <w:proofErr w:type="spellStart"/>
      <w:r w:rsidRPr="00604982">
        <w:rPr>
          <w:color w:val="4E4E4E"/>
        </w:rPr>
        <w:t>phagesDB</w:t>
      </w:r>
      <w:proofErr w:type="spellEnd"/>
      <w:r w:rsidRPr="00604982">
        <w:rPr>
          <w:color w:val="4E4E4E"/>
        </w:rPr>
        <w:t xml:space="preserve"> submission</w:t>
      </w:r>
      <w:r w:rsidR="00BE69F6" w:rsidRPr="00604982">
        <w:rPr>
          <w:color w:val="4E4E4E"/>
        </w:rPr>
        <w:t xml:space="preserve"> since it does not require QC</w:t>
      </w:r>
      <w:r w:rsidRPr="00604982">
        <w:rPr>
          <w:color w:val="4E4E4E"/>
        </w:rPr>
        <w:t xml:space="preserve">. </w:t>
      </w:r>
      <w:r w:rsidR="00BE69F6" w:rsidRPr="00604982">
        <w:rPr>
          <w:color w:val="4E4E4E"/>
        </w:rPr>
        <w:t>If not an expedited submitter,</w:t>
      </w:r>
      <w:r w:rsidRPr="00604982">
        <w:rPr>
          <w:color w:val="4E4E4E"/>
        </w:rPr>
        <w:t xml:space="preserve"> the </w:t>
      </w:r>
      <w:r w:rsidR="00BE69F6" w:rsidRPr="00604982">
        <w:rPr>
          <w:color w:val="4E4E4E"/>
        </w:rPr>
        <w:t xml:space="preserve">completed </w:t>
      </w:r>
      <w:r w:rsidRPr="00604982">
        <w:rPr>
          <w:color w:val="4E4E4E"/>
        </w:rPr>
        <w:t xml:space="preserve">annotation </w:t>
      </w:r>
      <w:r w:rsidR="00BE69F6" w:rsidRPr="00604982">
        <w:rPr>
          <w:color w:val="4E4E4E"/>
        </w:rPr>
        <w:t>should be</w:t>
      </w:r>
      <w:r w:rsidRPr="00604982">
        <w:rPr>
          <w:color w:val="4E4E4E"/>
        </w:rPr>
        <w:t xml:space="preserve"> submitted </w:t>
      </w:r>
      <w:r w:rsidR="00BE69F6" w:rsidRPr="00604982">
        <w:rPr>
          <w:color w:val="4E4E4E"/>
        </w:rPr>
        <w:t>prior to any</w:t>
      </w:r>
      <w:r w:rsidRPr="00604982">
        <w:rPr>
          <w:color w:val="4E4E4E"/>
        </w:rPr>
        <w:t xml:space="preserve"> semester deadlines</w:t>
      </w:r>
      <w:r w:rsidR="00BE69F6" w:rsidRPr="00604982">
        <w:rPr>
          <w:color w:val="4E4E4E"/>
        </w:rPr>
        <w:t xml:space="preserve"> to assure it can be processed in </w:t>
      </w:r>
      <w:proofErr w:type="gramStart"/>
      <w:r w:rsidR="00BE69F6" w:rsidRPr="00604982">
        <w:rPr>
          <w:color w:val="4E4E4E"/>
        </w:rPr>
        <w:t>an</w:t>
      </w:r>
      <w:proofErr w:type="gramEnd"/>
      <w:r w:rsidR="00BE69F6" w:rsidRPr="00604982">
        <w:rPr>
          <w:color w:val="4E4E4E"/>
        </w:rPr>
        <w:t xml:space="preserve"> timely manner</w:t>
      </w:r>
    </w:p>
    <w:p w14:paraId="249E5D07" w14:textId="33EC7EC9" w:rsidR="009C3318" w:rsidRPr="00604982" w:rsidRDefault="009C3318" w:rsidP="00BE69F6">
      <w:pPr>
        <w:numPr>
          <w:ilvl w:val="0"/>
          <w:numId w:val="5"/>
        </w:numPr>
        <w:spacing w:after="120"/>
        <w:rPr>
          <w:color w:val="4E4E4E"/>
        </w:rPr>
      </w:pPr>
      <w:r w:rsidRPr="00604982">
        <w:rPr>
          <w:color w:val="4E4E4E"/>
        </w:rPr>
        <w:t xml:space="preserve">If </w:t>
      </w:r>
      <w:r w:rsidR="00604982" w:rsidRPr="00604982">
        <w:rPr>
          <w:color w:val="4E4E4E"/>
        </w:rPr>
        <w:t>an</w:t>
      </w:r>
      <w:r w:rsidRPr="00604982">
        <w:rPr>
          <w:color w:val="4E4E4E"/>
        </w:rPr>
        <w:t xml:space="preserve"> MRA will be written, Jacobs-Sera and Dan Russell should be notified before the annotation is submitted to </w:t>
      </w:r>
      <w:proofErr w:type="spellStart"/>
      <w:r w:rsidRPr="00604982">
        <w:rPr>
          <w:color w:val="4E4E4E"/>
        </w:rPr>
        <w:t>phagesDB</w:t>
      </w:r>
      <w:proofErr w:type="spellEnd"/>
      <w:r w:rsidRPr="00604982">
        <w:rPr>
          <w:color w:val="4E4E4E"/>
        </w:rPr>
        <w:t xml:space="preserve"> to assure that </w:t>
      </w:r>
      <w:r w:rsidR="00BE69F6" w:rsidRPr="00604982">
        <w:rPr>
          <w:color w:val="4E4E4E"/>
        </w:rPr>
        <w:t xml:space="preserve">it will be processed </w:t>
      </w:r>
    </w:p>
    <w:p w14:paraId="0AA2F7FE" w14:textId="12C8B38C" w:rsidR="006D5B6B" w:rsidRDefault="006D5B6B" w:rsidP="00BE69F6">
      <w:pPr>
        <w:spacing w:after="120"/>
        <w:rPr>
          <w:b/>
          <w:u w:val="single"/>
        </w:rPr>
      </w:pPr>
    </w:p>
    <w:p w14:paraId="389CC31F" w14:textId="77777777" w:rsidR="00604982" w:rsidRDefault="00604982" w:rsidP="00BE69F6">
      <w:pPr>
        <w:spacing w:after="120"/>
        <w:rPr>
          <w:b/>
          <w:u w:val="single"/>
        </w:rPr>
      </w:pPr>
    </w:p>
    <w:p w14:paraId="0000000E" w14:textId="30ECE1E6" w:rsidR="00F4286F" w:rsidRDefault="000A6AAC" w:rsidP="00BE69F6">
      <w:pPr>
        <w:spacing w:after="120"/>
        <w:rPr>
          <w:b/>
          <w:u w:val="single"/>
        </w:rPr>
      </w:pPr>
      <w:r>
        <w:rPr>
          <w:b/>
          <w:u w:val="single"/>
        </w:rPr>
        <w:lastRenderedPageBreak/>
        <w:t>Genomes</w:t>
      </w:r>
    </w:p>
    <w:p w14:paraId="0000000F" w14:textId="77777777" w:rsidR="00F4286F" w:rsidRPr="00604982" w:rsidRDefault="000A6AAC" w:rsidP="00BE69F6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00000010" w14:textId="77777777" w:rsidR="00F4286F" w:rsidRPr="00604982" w:rsidRDefault="000A6AAC" w:rsidP="00BE69F6">
      <w:pPr>
        <w:numPr>
          <w:ilvl w:val="0"/>
          <w:numId w:val="6"/>
        </w:numPr>
        <w:spacing w:after="120"/>
        <w:rPr>
          <w:color w:val="4E4E4E"/>
        </w:rPr>
      </w:pPr>
      <w:r w:rsidRPr="00604982">
        <w:rPr>
          <w:color w:val="4E4E4E"/>
        </w:rPr>
        <w:t>An Announcement for a lab section may include all the genomes that were annotated even though they are not in the same cluster</w:t>
      </w:r>
    </w:p>
    <w:p w14:paraId="00000011" w14:textId="77777777" w:rsidR="00F4286F" w:rsidRPr="00604982" w:rsidRDefault="000A6AAC" w:rsidP="00BE69F6">
      <w:pPr>
        <w:numPr>
          <w:ilvl w:val="0"/>
          <w:numId w:val="6"/>
        </w:numPr>
        <w:spacing w:after="120"/>
        <w:rPr>
          <w:color w:val="4E4E4E"/>
        </w:rPr>
      </w:pPr>
      <w:r w:rsidRPr="00604982">
        <w:rPr>
          <w:color w:val="4E4E4E"/>
        </w:rPr>
        <w:t>Highlight differences among the different phages in different clusters</w:t>
      </w:r>
    </w:p>
    <w:p w14:paraId="00000012" w14:textId="77777777" w:rsidR="00F4286F" w:rsidRPr="00604982" w:rsidRDefault="000A6AAC" w:rsidP="00BE69F6">
      <w:pPr>
        <w:numPr>
          <w:ilvl w:val="0"/>
          <w:numId w:val="6"/>
        </w:numPr>
        <w:spacing w:after="120"/>
        <w:rPr>
          <w:color w:val="4E4E4E"/>
        </w:rPr>
      </w:pPr>
      <w:r w:rsidRPr="00604982">
        <w:rPr>
          <w:color w:val="4E4E4E"/>
        </w:rPr>
        <w:t>There isn't a lot of room to include a lot of information</w:t>
      </w:r>
    </w:p>
    <w:p w14:paraId="00000013" w14:textId="77777777" w:rsidR="00F4286F" w:rsidRPr="00604982" w:rsidRDefault="000A6AAC" w:rsidP="00BE69F6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00000014" w14:textId="77777777" w:rsidR="00F4286F" w:rsidRDefault="000A6AAC" w:rsidP="00BE69F6">
      <w:pPr>
        <w:spacing w:after="120"/>
        <w:rPr>
          <w:b/>
          <w:u w:val="single"/>
        </w:rPr>
      </w:pPr>
      <w:r>
        <w:rPr>
          <w:b/>
          <w:u w:val="single"/>
        </w:rPr>
        <w:t>Credit</w:t>
      </w:r>
    </w:p>
    <w:p w14:paraId="00000015" w14:textId="77777777" w:rsidR="00F4286F" w:rsidRPr="00604982" w:rsidRDefault="000A6AAC" w:rsidP="00BE69F6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00000016" w14:textId="77777777" w:rsidR="00F4286F" w:rsidRPr="00604982" w:rsidRDefault="000A6AAC" w:rsidP="00BE69F6">
      <w:pPr>
        <w:numPr>
          <w:ilvl w:val="0"/>
          <w:numId w:val="1"/>
        </w:numPr>
        <w:spacing w:after="120"/>
        <w:rPr>
          <w:color w:val="4E4E4E"/>
        </w:rPr>
      </w:pPr>
      <w:r w:rsidRPr="00604982">
        <w:rPr>
          <w:color w:val="4E4E4E"/>
        </w:rPr>
        <w:t>Assignment may be optional. "Reward/credit" is authorship. Motivation comes from peer pressure</w:t>
      </w:r>
    </w:p>
    <w:p w14:paraId="00000017" w14:textId="77777777" w:rsidR="00F4286F" w:rsidRPr="00604982" w:rsidRDefault="000A6AAC" w:rsidP="00BE69F6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00000018" w14:textId="77777777" w:rsidR="00F4286F" w:rsidRDefault="000A6AAC" w:rsidP="00BE69F6">
      <w:pPr>
        <w:spacing w:after="120"/>
        <w:rPr>
          <w:b/>
          <w:u w:val="single"/>
        </w:rPr>
      </w:pPr>
      <w:r>
        <w:rPr>
          <w:b/>
          <w:u w:val="single"/>
        </w:rPr>
        <w:t>Writing Training</w:t>
      </w:r>
    </w:p>
    <w:p w14:paraId="00000019" w14:textId="77777777" w:rsidR="00F4286F" w:rsidRPr="00604982" w:rsidRDefault="000A6AAC" w:rsidP="00BE69F6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0000001A" w14:textId="77777777" w:rsidR="00F4286F" w:rsidRPr="00604982" w:rsidRDefault="000A6AAC" w:rsidP="00BE69F6">
      <w:pPr>
        <w:numPr>
          <w:ilvl w:val="0"/>
          <w:numId w:val="4"/>
        </w:numPr>
        <w:spacing w:after="120"/>
        <w:rPr>
          <w:color w:val="4E4E4E"/>
        </w:rPr>
      </w:pPr>
      <w:r w:rsidRPr="00604982">
        <w:rPr>
          <w:color w:val="4E4E4E"/>
        </w:rPr>
        <w:t>Depends on students and whether they took the Discovery course and the level of writing that had been previously required</w:t>
      </w:r>
    </w:p>
    <w:p w14:paraId="0000001B" w14:textId="77777777" w:rsidR="00F4286F" w:rsidRPr="00604982" w:rsidRDefault="000A6AAC" w:rsidP="00BE69F6">
      <w:pPr>
        <w:numPr>
          <w:ilvl w:val="0"/>
          <w:numId w:val="4"/>
        </w:numPr>
        <w:spacing w:after="120"/>
        <w:rPr>
          <w:color w:val="4E4E4E"/>
        </w:rPr>
      </w:pPr>
      <w:r w:rsidRPr="00604982">
        <w:rPr>
          <w:color w:val="4E4E4E"/>
        </w:rPr>
        <w:t>The GA is very short and is not a complex writing assignment</w:t>
      </w:r>
    </w:p>
    <w:p w14:paraId="0000001C" w14:textId="77777777" w:rsidR="00F4286F" w:rsidRPr="00604982" w:rsidRDefault="000A6AAC" w:rsidP="00BE69F6">
      <w:pPr>
        <w:numPr>
          <w:ilvl w:val="0"/>
          <w:numId w:val="4"/>
        </w:numPr>
        <w:spacing w:after="120"/>
        <w:rPr>
          <w:color w:val="4E4E4E"/>
        </w:rPr>
      </w:pPr>
      <w:r w:rsidRPr="00604982">
        <w:rPr>
          <w:color w:val="4E4E4E"/>
        </w:rPr>
        <w:t>Training workshops may be warranted if students have not had to complete other writing assignments</w:t>
      </w:r>
    </w:p>
    <w:p w14:paraId="36858748" w14:textId="77777777" w:rsidR="00604982" w:rsidRDefault="000A6AAC" w:rsidP="00BE69F6">
      <w:pPr>
        <w:numPr>
          <w:ilvl w:val="0"/>
          <w:numId w:val="4"/>
        </w:numPr>
        <w:spacing w:after="120"/>
        <w:rPr>
          <w:color w:val="4E4E4E"/>
        </w:rPr>
      </w:pPr>
      <w:r w:rsidRPr="00604982">
        <w:rPr>
          <w:color w:val="4E4E4E"/>
        </w:rPr>
        <w:t>Can make use of writing centers or other resources available on campus</w:t>
      </w:r>
    </w:p>
    <w:p w14:paraId="0000001D" w14:textId="70F65E1E" w:rsidR="00F4286F" w:rsidRPr="00604982" w:rsidRDefault="000A6AAC" w:rsidP="00604982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0000001E" w14:textId="77777777" w:rsidR="00F4286F" w:rsidRDefault="000A6AAC" w:rsidP="00BE69F6">
      <w:pPr>
        <w:spacing w:after="120"/>
        <w:rPr>
          <w:b/>
          <w:u w:val="single"/>
        </w:rPr>
      </w:pPr>
      <w:r>
        <w:rPr>
          <w:b/>
          <w:u w:val="single"/>
        </w:rPr>
        <w:t>Assessment</w:t>
      </w:r>
    </w:p>
    <w:p w14:paraId="0000001F" w14:textId="77777777" w:rsidR="00F4286F" w:rsidRPr="00604982" w:rsidRDefault="000A6AAC" w:rsidP="00BE69F6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00000020" w14:textId="77777777" w:rsidR="00F4286F" w:rsidRPr="00604982" w:rsidRDefault="000A6AAC" w:rsidP="00BE69F6">
      <w:pPr>
        <w:numPr>
          <w:ilvl w:val="0"/>
          <w:numId w:val="3"/>
        </w:numPr>
        <w:spacing w:after="120"/>
        <w:rPr>
          <w:color w:val="4E4E4E"/>
        </w:rPr>
      </w:pPr>
      <w:r w:rsidRPr="00604982">
        <w:rPr>
          <w:color w:val="4E4E4E"/>
        </w:rPr>
        <w:t xml:space="preserve">Reference grading rubric </w:t>
      </w:r>
    </w:p>
    <w:p w14:paraId="00000021" w14:textId="77777777" w:rsidR="00F4286F" w:rsidRPr="00604982" w:rsidRDefault="000A6AAC" w:rsidP="00BE69F6">
      <w:pPr>
        <w:numPr>
          <w:ilvl w:val="0"/>
          <w:numId w:val="3"/>
        </w:numPr>
        <w:spacing w:after="120"/>
        <w:rPr>
          <w:color w:val="4E4E4E"/>
        </w:rPr>
      </w:pPr>
      <w:r w:rsidRPr="00604982">
        <w:rPr>
          <w:color w:val="4E4E4E"/>
        </w:rPr>
        <w:t>Completion of the GA, submission and acceptance</w:t>
      </w:r>
    </w:p>
    <w:p w14:paraId="00000022" w14:textId="77777777" w:rsidR="00F4286F" w:rsidRPr="00604982" w:rsidRDefault="00F4286F" w:rsidP="00BE69F6">
      <w:pPr>
        <w:spacing w:after="120"/>
        <w:rPr>
          <w:b/>
          <w:color w:val="4E4E4E"/>
          <w:u w:val="single"/>
        </w:rPr>
      </w:pPr>
    </w:p>
    <w:p w14:paraId="00000023" w14:textId="77777777" w:rsidR="00F4286F" w:rsidRDefault="000A6AAC" w:rsidP="00BE69F6">
      <w:pPr>
        <w:spacing w:after="120"/>
        <w:rPr>
          <w:b/>
          <w:u w:val="single"/>
        </w:rPr>
      </w:pPr>
      <w:r>
        <w:rPr>
          <w:b/>
          <w:u w:val="single"/>
        </w:rPr>
        <w:t>Publication Cost</w:t>
      </w:r>
    </w:p>
    <w:p w14:paraId="00000024" w14:textId="77777777" w:rsidR="00F4286F" w:rsidRPr="00604982" w:rsidRDefault="000A6AAC" w:rsidP="00BE69F6">
      <w:pPr>
        <w:spacing w:after="120"/>
        <w:rPr>
          <w:color w:val="4E4E4E"/>
        </w:rPr>
      </w:pPr>
      <w:r w:rsidRPr="00604982">
        <w:rPr>
          <w:color w:val="4E4E4E"/>
        </w:rPr>
        <w:t xml:space="preserve"> </w:t>
      </w:r>
    </w:p>
    <w:p w14:paraId="00000025" w14:textId="34112801" w:rsidR="00F4286F" w:rsidRPr="00604982" w:rsidRDefault="000A6AAC" w:rsidP="00BE69F6">
      <w:pPr>
        <w:numPr>
          <w:ilvl w:val="0"/>
          <w:numId w:val="2"/>
        </w:numPr>
        <w:spacing w:after="120"/>
        <w:rPr>
          <w:color w:val="4E4E4E"/>
        </w:rPr>
      </w:pPr>
      <w:r w:rsidRPr="00604982">
        <w:rPr>
          <w:color w:val="4E4E4E"/>
        </w:rPr>
        <w:t>If not a member, cost can be $1000, members are $7</w:t>
      </w:r>
      <w:r w:rsidR="006D5B6B" w:rsidRPr="00604982">
        <w:rPr>
          <w:color w:val="4E4E4E"/>
        </w:rPr>
        <w:t>80</w:t>
      </w:r>
    </w:p>
    <w:p w14:paraId="00000026" w14:textId="77777777" w:rsidR="00F4286F" w:rsidRPr="00604982" w:rsidRDefault="000A6AAC" w:rsidP="00BE69F6">
      <w:pPr>
        <w:numPr>
          <w:ilvl w:val="0"/>
          <w:numId w:val="2"/>
        </w:numPr>
        <w:spacing w:after="120"/>
        <w:rPr>
          <w:color w:val="4E4E4E"/>
        </w:rPr>
      </w:pPr>
      <w:r w:rsidRPr="00604982">
        <w:rPr>
          <w:color w:val="4E4E4E"/>
        </w:rPr>
        <w:t>Leverage Dean of Department funds</w:t>
      </w:r>
    </w:p>
    <w:p w14:paraId="00000027" w14:textId="77777777" w:rsidR="00F4286F" w:rsidRPr="00604982" w:rsidRDefault="000A6AAC" w:rsidP="00BE69F6">
      <w:pPr>
        <w:numPr>
          <w:ilvl w:val="0"/>
          <w:numId w:val="2"/>
        </w:numPr>
        <w:spacing w:after="120"/>
        <w:rPr>
          <w:color w:val="4E4E4E"/>
        </w:rPr>
      </w:pPr>
      <w:r w:rsidRPr="00604982">
        <w:rPr>
          <w:color w:val="4E4E4E"/>
        </w:rPr>
        <w:t>Work with other PHAGES institutions</w:t>
      </w:r>
    </w:p>
    <w:p w14:paraId="00000028" w14:textId="77777777" w:rsidR="00F4286F" w:rsidRPr="00604982" w:rsidRDefault="000A6AAC" w:rsidP="00BE69F6">
      <w:pPr>
        <w:numPr>
          <w:ilvl w:val="0"/>
          <w:numId w:val="2"/>
        </w:numPr>
        <w:spacing w:after="120"/>
        <w:rPr>
          <w:color w:val="4E4E4E"/>
        </w:rPr>
      </w:pPr>
      <w:r w:rsidRPr="00604982">
        <w:rPr>
          <w:color w:val="4E4E4E"/>
        </w:rPr>
        <w:t>Student UG Research Funds</w:t>
      </w:r>
    </w:p>
    <w:p w14:paraId="00000029" w14:textId="77777777" w:rsidR="00F4286F" w:rsidRPr="00604982" w:rsidRDefault="000A6AAC" w:rsidP="00BE69F6">
      <w:pPr>
        <w:numPr>
          <w:ilvl w:val="0"/>
          <w:numId w:val="2"/>
        </w:numPr>
        <w:spacing w:after="120"/>
        <w:rPr>
          <w:color w:val="4E4E4E"/>
        </w:rPr>
      </w:pPr>
      <w:r w:rsidRPr="00604982">
        <w:rPr>
          <w:color w:val="4E4E4E"/>
        </w:rPr>
        <w:t>Student Government support</w:t>
      </w:r>
    </w:p>
    <w:p w14:paraId="0000002B" w14:textId="77777777" w:rsidR="00F4286F" w:rsidRDefault="00F4286F" w:rsidP="00BE69F6">
      <w:pPr>
        <w:spacing w:after="120"/>
      </w:pPr>
      <w:bookmarkStart w:id="0" w:name="_GoBack"/>
      <w:bookmarkEnd w:id="0"/>
    </w:p>
    <w:sectPr w:rsidR="00F428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78E"/>
    <w:multiLevelType w:val="multilevel"/>
    <w:tmpl w:val="AA04F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524358"/>
    <w:multiLevelType w:val="multilevel"/>
    <w:tmpl w:val="83DAA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BF324A"/>
    <w:multiLevelType w:val="multilevel"/>
    <w:tmpl w:val="DEA2A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95456D"/>
    <w:multiLevelType w:val="multilevel"/>
    <w:tmpl w:val="31DA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D02E86"/>
    <w:multiLevelType w:val="multilevel"/>
    <w:tmpl w:val="0C289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CA0D0A"/>
    <w:multiLevelType w:val="multilevel"/>
    <w:tmpl w:val="DDA8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6F"/>
    <w:rsid w:val="000A6AAC"/>
    <w:rsid w:val="00564883"/>
    <w:rsid w:val="00604982"/>
    <w:rsid w:val="006D5B6B"/>
    <w:rsid w:val="009C3318"/>
    <w:rsid w:val="00BE69F6"/>
    <w:rsid w:val="00F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C3A7"/>
  <w15:docId w15:val="{10B5F70F-C5C3-A541-9FF2-C27CE44E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31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2021-06-25T16:36:00Z</dcterms:created>
  <dcterms:modified xsi:type="dcterms:W3CDTF">2021-07-08T14:33:00Z</dcterms:modified>
</cp:coreProperties>
</file>