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C4B2" w14:textId="77777777" w:rsidR="00DD2451" w:rsidRPr="00AD2328" w:rsidRDefault="00DD2451" w:rsidP="00DD2451">
      <w:pPr>
        <w:pStyle w:val="BodyText"/>
        <w:kinsoku w:val="0"/>
        <w:overflowPunct w:val="0"/>
        <w:spacing w:before="62"/>
        <w:ind w:right="717"/>
        <w:jc w:val="center"/>
        <w:rPr>
          <w:b/>
          <w:color w:val="231F20"/>
        </w:rPr>
      </w:pPr>
      <w:r w:rsidRPr="00AD2328">
        <w:rPr>
          <w:b/>
          <w:color w:val="231F20"/>
        </w:rPr>
        <w:t>APPENDIX B</w:t>
      </w:r>
    </w:p>
    <w:p w14:paraId="1ECFD28F" w14:textId="77777777" w:rsidR="00DD2451" w:rsidRDefault="00DD2451" w:rsidP="00DD2451">
      <w:pPr>
        <w:pStyle w:val="BodyText"/>
        <w:kinsoku w:val="0"/>
        <w:overflowPunct w:val="0"/>
        <w:spacing w:before="62"/>
        <w:ind w:right="717"/>
        <w:jc w:val="center"/>
        <w:rPr>
          <w:b/>
          <w:color w:val="231F20"/>
        </w:rPr>
      </w:pPr>
      <w:r w:rsidRPr="00AD2328">
        <w:rPr>
          <w:b/>
          <w:color w:val="231F20"/>
        </w:rPr>
        <w:t>Links to videos used in this lab</w:t>
      </w:r>
    </w:p>
    <w:p w14:paraId="25CD6F06" w14:textId="77777777" w:rsidR="00DD2451" w:rsidRDefault="00DD2451" w:rsidP="00DD2451">
      <w:pPr>
        <w:pStyle w:val="BodyText"/>
        <w:kinsoku w:val="0"/>
        <w:overflowPunct w:val="0"/>
        <w:spacing w:before="62"/>
        <w:ind w:right="717"/>
        <w:jc w:val="center"/>
        <w:rPr>
          <w:b/>
          <w:color w:val="231F20"/>
        </w:rPr>
      </w:pPr>
    </w:p>
    <w:p w14:paraId="55290010" w14:textId="77777777" w:rsidR="00DD2451" w:rsidRDefault="00DD2451" w:rsidP="00DD2451">
      <w:pPr>
        <w:pStyle w:val="BodyText"/>
        <w:kinsoku w:val="0"/>
        <w:overflowPunct w:val="0"/>
        <w:spacing w:before="8"/>
        <w:rPr>
          <w:szCs w:val="23"/>
        </w:rPr>
      </w:pPr>
      <w:r w:rsidRPr="00172EF9">
        <w:rPr>
          <w:szCs w:val="23"/>
        </w:rPr>
        <w:t>The fo</w:t>
      </w:r>
      <w:r>
        <w:rPr>
          <w:szCs w:val="23"/>
        </w:rPr>
        <w:t>llowing videos have been included to help students understand this lab exercise, especially for online delivery.</w:t>
      </w:r>
    </w:p>
    <w:p w14:paraId="20F43936" w14:textId="77777777" w:rsidR="00DD2451" w:rsidRPr="00B57FD6" w:rsidRDefault="00DD2451" w:rsidP="00DD2451">
      <w:pPr>
        <w:rPr>
          <w:sz w:val="20"/>
        </w:rPr>
      </w:pPr>
    </w:p>
    <w:p w14:paraId="54438676" w14:textId="77777777" w:rsidR="00DD2451" w:rsidRPr="00966F62" w:rsidRDefault="00DD2451" w:rsidP="00DD2451">
      <w:pPr>
        <w:pStyle w:val="ListParagraph"/>
        <w:numPr>
          <w:ilvl w:val="0"/>
          <w:numId w:val="1"/>
        </w:numPr>
        <w:spacing w:before="120"/>
        <w:ind w:right="180"/>
        <w:rPr>
          <w:sz w:val="22"/>
        </w:rPr>
      </w:pPr>
      <w:r w:rsidRPr="00B57FD6">
        <w:rPr>
          <w:b/>
          <w:sz w:val="22"/>
        </w:rPr>
        <w:t xml:space="preserve">Introduction to enzymes’ role in biochemical reactions: </w:t>
      </w:r>
      <w:r w:rsidRPr="00B57FD6">
        <w:rPr>
          <w:sz w:val="22"/>
        </w:rPr>
        <w:t>a review of proteins/enzymes, the amylase enzyme, and the reaction it catalyzes</w:t>
      </w:r>
      <w:r w:rsidRPr="00B57FD6">
        <w:rPr>
          <w:b/>
          <w:sz w:val="22"/>
        </w:rPr>
        <w:t xml:space="preserve">. </w:t>
      </w:r>
    </w:p>
    <w:p w14:paraId="3D8A3F66" w14:textId="77777777" w:rsidR="00DD2451" w:rsidRPr="00B57FD6" w:rsidRDefault="00DD2451" w:rsidP="00DD2451">
      <w:pPr>
        <w:pStyle w:val="ListParagraph"/>
        <w:spacing w:before="120"/>
        <w:ind w:left="720" w:right="180" w:firstLine="0"/>
        <w:rPr>
          <w:sz w:val="22"/>
        </w:rPr>
      </w:pPr>
      <w:hyperlink r:id="rId8" w:history="1">
        <w:r w:rsidRPr="00F0061C">
          <w:rPr>
            <w:rStyle w:val="Hyperlink"/>
            <w:b/>
            <w:sz w:val="22"/>
          </w:rPr>
          <w:t>https://www.youtube.com/watch?v=V6wHXtO9klA</w:t>
        </w:r>
      </w:hyperlink>
      <w:r w:rsidRPr="00B57FD6">
        <w:rPr>
          <w:rStyle w:val="Hyperlink"/>
          <w:sz w:val="22"/>
        </w:rPr>
        <w:t xml:space="preserve"> </w:t>
      </w:r>
    </w:p>
    <w:p w14:paraId="7BAF006C" w14:textId="77777777" w:rsidR="00DD2451" w:rsidRPr="00B57FD6" w:rsidRDefault="00DD2451" w:rsidP="00DD2451">
      <w:pPr>
        <w:pStyle w:val="ListParagraph"/>
        <w:numPr>
          <w:ilvl w:val="0"/>
          <w:numId w:val="1"/>
        </w:numPr>
        <w:spacing w:before="120"/>
        <w:rPr>
          <w:rStyle w:val="Hyperlink"/>
          <w:sz w:val="22"/>
        </w:rPr>
      </w:pPr>
      <w:r w:rsidRPr="00B57FD6">
        <w:rPr>
          <w:b/>
          <w:sz w:val="22"/>
        </w:rPr>
        <w:t>Maltose standard curve</w:t>
      </w:r>
      <w:r w:rsidRPr="00B57FD6">
        <w:rPr>
          <w:rStyle w:val="Hyperlink"/>
          <w:sz w:val="22"/>
        </w:rPr>
        <w:t xml:space="preserve">: constructing and using this graph will allow you to determine amylase activity. </w:t>
      </w:r>
    </w:p>
    <w:p w14:paraId="03B01D4F" w14:textId="77777777" w:rsidR="00DD2451" w:rsidRPr="00B57FD6" w:rsidRDefault="00DD2451" w:rsidP="00DD2451">
      <w:pPr>
        <w:pStyle w:val="ListParagraph"/>
        <w:spacing w:before="120"/>
        <w:ind w:left="720" w:firstLine="0"/>
        <w:rPr>
          <w:sz w:val="22"/>
        </w:rPr>
      </w:pPr>
      <w:hyperlink r:id="rId9" w:history="1">
        <w:r w:rsidRPr="00B57FD6">
          <w:rPr>
            <w:rStyle w:val="Hyperlink"/>
            <w:b/>
            <w:sz w:val="22"/>
          </w:rPr>
          <w:t>https://youtu.be/KNMz0pSgYbk</w:t>
        </w:r>
      </w:hyperlink>
    </w:p>
    <w:p w14:paraId="16610CBC" w14:textId="77777777" w:rsidR="00DD2451" w:rsidRPr="00B57FD6" w:rsidRDefault="00DD2451" w:rsidP="00DD2451">
      <w:pPr>
        <w:pStyle w:val="ListParagraph"/>
        <w:numPr>
          <w:ilvl w:val="0"/>
          <w:numId w:val="1"/>
        </w:numPr>
        <w:spacing w:before="120"/>
        <w:rPr>
          <w:rStyle w:val="Hyperlink"/>
          <w:b/>
          <w:sz w:val="22"/>
        </w:rPr>
      </w:pPr>
      <w:r w:rsidRPr="00B57FD6">
        <w:rPr>
          <w:b/>
          <w:sz w:val="22"/>
        </w:rPr>
        <w:t xml:space="preserve">Testing your hypothesis on amylase activity: </w:t>
      </w:r>
      <w:r w:rsidRPr="00B57FD6">
        <w:rPr>
          <w:sz w:val="22"/>
        </w:rPr>
        <w:t>review of the scientific method, the experimental design, and data analysis to determine the effect of an environmental factor on amylase activity.</w:t>
      </w:r>
      <w:r w:rsidRPr="00B57FD6">
        <w:rPr>
          <w:b/>
          <w:sz w:val="22"/>
        </w:rPr>
        <w:t xml:space="preserve"> </w:t>
      </w:r>
      <w:hyperlink r:id="rId10" w:history="1">
        <w:r w:rsidRPr="00B57FD6">
          <w:rPr>
            <w:rStyle w:val="Hyperlink"/>
            <w:b/>
            <w:sz w:val="22"/>
          </w:rPr>
          <w:t>https://youtu.be/_BacifzIP64</w:t>
        </w:r>
      </w:hyperlink>
    </w:p>
    <w:p w14:paraId="24324225" w14:textId="77777777" w:rsidR="00DD2451" w:rsidRPr="00B57FD6" w:rsidRDefault="00DD2451" w:rsidP="00DD2451">
      <w:pPr>
        <w:pStyle w:val="ListParagraph"/>
        <w:numPr>
          <w:ilvl w:val="0"/>
          <w:numId w:val="1"/>
        </w:numPr>
        <w:spacing w:before="120"/>
        <w:rPr>
          <w:b/>
          <w:sz w:val="22"/>
        </w:rPr>
      </w:pPr>
      <w:r w:rsidRPr="00B57FD6">
        <w:rPr>
          <w:b/>
          <w:sz w:val="22"/>
        </w:rPr>
        <w:t>Using micropipettes</w:t>
      </w:r>
      <w:r>
        <w:rPr>
          <w:b/>
          <w:sz w:val="22"/>
        </w:rPr>
        <w:t>:</w:t>
      </w:r>
    </w:p>
    <w:p w14:paraId="3720419C" w14:textId="77777777" w:rsidR="00DD2451" w:rsidRPr="00B57FD6" w:rsidRDefault="00DD2451" w:rsidP="00DD2451">
      <w:pPr>
        <w:pStyle w:val="ListParagraph"/>
        <w:spacing w:before="120"/>
        <w:ind w:left="720" w:firstLine="0"/>
        <w:rPr>
          <w:b/>
          <w:sz w:val="22"/>
        </w:rPr>
      </w:pPr>
      <w:hyperlink r:id="rId11" w:history="1">
        <w:r w:rsidRPr="00B57FD6">
          <w:rPr>
            <w:rStyle w:val="Hyperlink"/>
            <w:b/>
            <w:sz w:val="22"/>
          </w:rPr>
          <w:t>https://youtu.be/uEy_NGDfo_8</w:t>
        </w:r>
      </w:hyperlink>
    </w:p>
    <w:p w14:paraId="6B81D20A" w14:textId="77777777" w:rsidR="00DD2451" w:rsidRDefault="00DD2451" w:rsidP="00DD2451">
      <w:pPr>
        <w:pStyle w:val="ListParagraph"/>
        <w:numPr>
          <w:ilvl w:val="0"/>
          <w:numId w:val="1"/>
        </w:numPr>
        <w:spacing w:before="120"/>
        <w:rPr>
          <w:b/>
          <w:sz w:val="22"/>
        </w:rPr>
      </w:pPr>
      <w:r>
        <w:rPr>
          <w:b/>
          <w:sz w:val="22"/>
        </w:rPr>
        <w:t>How to use a spectrophotometer:</w:t>
      </w:r>
    </w:p>
    <w:p w14:paraId="6E63B7B3" w14:textId="77777777" w:rsidR="00DD2451" w:rsidRPr="00351CAC" w:rsidRDefault="00DD2451" w:rsidP="00DD2451">
      <w:pPr>
        <w:widowControl/>
        <w:autoSpaceDE/>
        <w:autoSpaceDN/>
        <w:adjustRightInd/>
        <w:spacing w:before="120"/>
        <w:ind w:left="360" w:firstLine="360"/>
        <w:rPr>
          <w:rStyle w:val="Hyperlink"/>
          <w:b/>
        </w:rPr>
      </w:pPr>
      <w:hyperlink r:id="rId12" w:history="1">
        <w:r w:rsidRPr="00F0061C">
          <w:rPr>
            <w:rStyle w:val="Hyperlink"/>
            <w:b/>
          </w:rPr>
          <w:t>https://youtu.be/u3C6QXD8gjQ</w:t>
        </w:r>
      </w:hyperlink>
    </w:p>
    <w:p w14:paraId="028B47CA" w14:textId="77777777" w:rsidR="00DD2451" w:rsidRDefault="00DD2451" w:rsidP="00DD2451">
      <w:pPr>
        <w:pStyle w:val="ListParagraph"/>
        <w:spacing w:before="120"/>
        <w:ind w:left="720" w:firstLine="0"/>
        <w:rPr>
          <w:b/>
          <w:sz w:val="22"/>
        </w:rPr>
      </w:pPr>
    </w:p>
    <w:p w14:paraId="344DCA4E" w14:textId="77777777" w:rsidR="00DD2451" w:rsidRPr="00B57FD6" w:rsidRDefault="00DD2451" w:rsidP="00DD2451">
      <w:pPr>
        <w:pStyle w:val="ListParagraph"/>
        <w:spacing w:before="120" w:after="120"/>
        <w:ind w:left="720" w:firstLine="0"/>
        <w:rPr>
          <w:b/>
          <w:sz w:val="22"/>
        </w:rPr>
      </w:pPr>
    </w:p>
    <w:p w14:paraId="2756D57A" w14:textId="77777777" w:rsidR="00DD2451" w:rsidRPr="00172EF9" w:rsidRDefault="00DD2451" w:rsidP="00DD2451">
      <w:pPr>
        <w:pStyle w:val="BodyText"/>
        <w:kinsoku w:val="0"/>
        <w:overflowPunct w:val="0"/>
        <w:spacing w:before="8"/>
        <w:rPr>
          <w:szCs w:val="23"/>
        </w:rPr>
      </w:pPr>
    </w:p>
    <w:p w14:paraId="49486A35" w14:textId="77777777" w:rsidR="00DD2451" w:rsidRDefault="00DD2451" w:rsidP="00DD2451">
      <w:pPr>
        <w:pStyle w:val="BodyText"/>
        <w:kinsoku w:val="0"/>
        <w:overflowPunct w:val="0"/>
        <w:spacing w:before="62"/>
        <w:ind w:right="717"/>
        <w:rPr>
          <w:b/>
          <w:color w:val="231F20"/>
        </w:rPr>
      </w:pPr>
    </w:p>
    <w:p w14:paraId="7A1F58A1" w14:textId="77777777" w:rsidR="00DD2451" w:rsidRDefault="00DD2451" w:rsidP="00DD2451">
      <w:pPr>
        <w:widowControl/>
        <w:autoSpaceDE/>
        <w:autoSpaceDN/>
        <w:adjustRightInd/>
        <w:spacing w:after="160" w:line="259" w:lineRule="auto"/>
        <w:rPr>
          <w:b/>
          <w:color w:val="231F20"/>
          <w:sz w:val="24"/>
          <w:szCs w:val="24"/>
        </w:rPr>
      </w:pPr>
      <w:r>
        <w:rPr>
          <w:b/>
          <w:color w:val="231F20"/>
        </w:rPr>
        <w:br w:type="page"/>
      </w:r>
    </w:p>
    <w:p w14:paraId="1F980F7A" w14:textId="77777777" w:rsidR="00DD2451" w:rsidRDefault="00DD2451" w:rsidP="00DD2451">
      <w:pPr>
        <w:pStyle w:val="BodyText"/>
        <w:kinsoku w:val="0"/>
        <w:overflowPunct w:val="0"/>
        <w:spacing w:before="62"/>
        <w:ind w:right="717"/>
        <w:jc w:val="center"/>
        <w:rPr>
          <w:b/>
          <w:color w:val="231F20"/>
        </w:rPr>
      </w:pPr>
      <w:r>
        <w:rPr>
          <w:b/>
          <w:color w:val="231F20"/>
        </w:rPr>
        <w:lastRenderedPageBreak/>
        <w:t>APPENDIX C</w:t>
      </w:r>
    </w:p>
    <w:p w14:paraId="27967FE2" w14:textId="77777777" w:rsidR="00DD2451" w:rsidRDefault="00DD2451" w:rsidP="00DD2451">
      <w:pPr>
        <w:pStyle w:val="BodyText"/>
        <w:kinsoku w:val="0"/>
        <w:overflowPunct w:val="0"/>
        <w:spacing w:before="62"/>
        <w:ind w:right="717"/>
        <w:jc w:val="center"/>
        <w:rPr>
          <w:b/>
          <w:color w:val="231F20"/>
        </w:rPr>
      </w:pPr>
      <w:r>
        <w:rPr>
          <w:b/>
          <w:color w:val="231F20"/>
        </w:rPr>
        <w:t>Materials and Methods</w:t>
      </w:r>
    </w:p>
    <w:p w14:paraId="53B4BC4B" w14:textId="77777777" w:rsidR="00DD2451" w:rsidRPr="004C0F38" w:rsidRDefault="00DD2451" w:rsidP="00DD2451">
      <w:pPr>
        <w:spacing w:after="200" w:line="276" w:lineRule="auto"/>
        <w:rPr>
          <w:rFonts w:eastAsia="Times New Roman"/>
        </w:rPr>
      </w:pPr>
    </w:p>
    <w:p w14:paraId="57A8761E" w14:textId="77777777" w:rsidR="00DD2451" w:rsidRPr="001C046B" w:rsidRDefault="00DD2451" w:rsidP="00DD2451">
      <w:pPr>
        <w:spacing w:after="200" w:line="276" w:lineRule="auto"/>
        <w:rPr>
          <w:rFonts w:eastAsia="Times New Roman"/>
          <w:b/>
        </w:rPr>
      </w:pPr>
      <w:r w:rsidRPr="001C046B">
        <w:rPr>
          <w:rFonts w:eastAsia="Times New Roman"/>
          <w:b/>
          <w:u w:val="single"/>
        </w:rPr>
        <w:t>Materials</w:t>
      </w:r>
      <w:r w:rsidRPr="001C046B">
        <w:rPr>
          <w:rFonts w:eastAsia="Times New Roman"/>
          <w:b/>
        </w:rPr>
        <w:t>:</w:t>
      </w:r>
    </w:p>
    <w:p w14:paraId="74C833D0" w14:textId="77777777" w:rsidR="00DD2451" w:rsidRPr="001C046B" w:rsidRDefault="00DD2451" w:rsidP="00DD245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="Times New Roman"/>
        </w:rPr>
      </w:pPr>
      <w:r w:rsidRPr="001C046B">
        <w:rPr>
          <w:rFonts w:eastAsia="Times New Roman"/>
          <w:b/>
          <w:bCs/>
          <w:iCs/>
          <w:u w:val="single"/>
        </w:rPr>
        <w:t>Fungal Amylase</w:t>
      </w:r>
      <w:r w:rsidRPr="001C046B">
        <w:rPr>
          <w:rFonts w:eastAsia="Times New Roman"/>
          <w:b/>
          <w:bCs/>
          <w:iCs/>
        </w:rPr>
        <w:t>:</w:t>
      </w:r>
      <w:r w:rsidRPr="001C046B">
        <w:rPr>
          <w:rFonts w:eastAsia="Times New Roman"/>
          <w:iCs/>
        </w:rPr>
        <w:t xml:space="preserve"> </w:t>
      </w:r>
      <w:r w:rsidRPr="001C046B">
        <w:rPr>
          <w:rFonts w:eastAsia="Times New Roman"/>
          <w:i/>
        </w:rPr>
        <w:t xml:space="preserve">α-Amylase from Aspergillus </w:t>
      </w:r>
      <w:proofErr w:type="spellStart"/>
      <w:r w:rsidRPr="001C046B">
        <w:rPr>
          <w:rFonts w:eastAsia="Times New Roman"/>
          <w:i/>
        </w:rPr>
        <w:t>oryzae</w:t>
      </w:r>
      <w:proofErr w:type="spellEnd"/>
      <w:r>
        <w:rPr>
          <w:rFonts w:eastAsia="Times New Roman"/>
        </w:rPr>
        <w:t xml:space="preserve"> </w:t>
      </w:r>
      <w:r w:rsidRPr="001C046B">
        <w:rPr>
          <w:rFonts w:eastAsia="Times New Roman"/>
        </w:rPr>
        <w:t xml:space="preserve">(Sigma </w:t>
      </w:r>
      <w:r w:rsidRPr="001C046B">
        <w:rPr>
          <w:rFonts w:eastAsia="Times New Roman"/>
          <w:i/>
          <w:iCs/>
        </w:rPr>
        <w:t>Cat# A9857-1MU</w:t>
      </w:r>
      <w:r w:rsidRPr="001C046B">
        <w:rPr>
          <w:rFonts w:eastAsia="Times New Roman"/>
        </w:rPr>
        <w:t>)</w:t>
      </w:r>
    </w:p>
    <w:p w14:paraId="3F78A760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  <w:b/>
          <w:u w:val="single"/>
        </w:rPr>
      </w:pPr>
    </w:p>
    <w:p w14:paraId="12B9EE9C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  <w:r w:rsidRPr="002521A1">
        <w:rPr>
          <w:rFonts w:eastAsia="Times New Roman"/>
          <w:b/>
        </w:rPr>
        <w:t>Stock solution (1%)</w:t>
      </w:r>
      <w:r w:rsidRPr="002521A1">
        <w:rPr>
          <w:rFonts w:eastAsia="Times New Roman"/>
        </w:rPr>
        <w:t>: Dissolve 0.5 g of BSA and 0.5 g of amylase powder to final volume of 50 ml</w:t>
      </w:r>
      <w:r w:rsidRPr="001C046B">
        <w:rPr>
          <w:rFonts w:eastAsia="Times New Roman"/>
        </w:rPr>
        <w:t xml:space="preserve"> deionized water.</w:t>
      </w:r>
    </w:p>
    <w:p w14:paraId="02039D42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  <w:r w:rsidRPr="002521A1">
        <w:rPr>
          <w:rFonts w:eastAsia="Times New Roman"/>
          <w:b/>
        </w:rPr>
        <w:t>Working solution (0.005%)</w:t>
      </w:r>
      <w:r w:rsidRPr="002521A1">
        <w:rPr>
          <w:rFonts w:eastAsia="Times New Roman"/>
        </w:rPr>
        <w:t>: Mix 1.0 ml of Stock solution of α-</w:t>
      </w:r>
      <w:proofErr w:type="gramStart"/>
      <w:r w:rsidRPr="002521A1">
        <w:rPr>
          <w:rFonts w:eastAsia="Times New Roman"/>
        </w:rPr>
        <w:t>amylase  from</w:t>
      </w:r>
      <w:proofErr w:type="gramEnd"/>
      <w:r w:rsidRPr="002521A1">
        <w:rPr>
          <w:rFonts w:eastAsia="Times New Roman"/>
        </w:rPr>
        <w:t xml:space="preserve"> Aspergillus </w:t>
      </w:r>
      <w:proofErr w:type="spellStart"/>
      <w:r w:rsidRPr="002521A1">
        <w:rPr>
          <w:rFonts w:eastAsia="Times New Roman"/>
        </w:rPr>
        <w:t>oryzae</w:t>
      </w:r>
      <w:proofErr w:type="spellEnd"/>
      <w:r w:rsidRPr="002521A1">
        <w:rPr>
          <w:rFonts w:eastAsia="Times New Roman"/>
        </w:rPr>
        <w:t xml:space="preserve"> with</w:t>
      </w:r>
      <w:r w:rsidRPr="001C046B">
        <w:rPr>
          <w:rFonts w:eastAsia="Times New Roman"/>
        </w:rPr>
        <w:t xml:space="preserve"> 200 ml of deionized water containing 0.2 g of BSA. Distribute 1.4 ml aliquot of working solution to each microfuge tube and freeze.</w:t>
      </w:r>
    </w:p>
    <w:p w14:paraId="5FB4A47F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</w:p>
    <w:p w14:paraId="30178CD5" w14:textId="77777777" w:rsidR="00DD2451" w:rsidRPr="001C046B" w:rsidRDefault="00DD2451" w:rsidP="00DD245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="Times New Roman"/>
        </w:rPr>
      </w:pPr>
      <w:r w:rsidRPr="001C046B">
        <w:rPr>
          <w:rFonts w:eastAsia="Times New Roman"/>
          <w:b/>
          <w:bCs/>
          <w:iCs/>
          <w:u w:val="single"/>
        </w:rPr>
        <w:t>Bacterial Amylase</w:t>
      </w:r>
      <w:r w:rsidRPr="001C046B">
        <w:rPr>
          <w:rFonts w:eastAsia="Times New Roman"/>
          <w:b/>
          <w:bCs/>
          <w:iCs/>
        </w:rPr>
        <w:t xml:space="preserve">: </w:t>
      </w:r>
      <w:r w:rsidRPr="001C046B">
        <w:rPr>
          <w:rFonts w:eastAsia="Times New Roman"/>
          <w:i/>
        </w:rPr>
        <w:t>α-Amylase from Bacillus licheniformis (</w:t>
      </w:r>
      <w:proofErr w:type="spellStart"/>
      <w:r w:rsidRPr="001C046B">
        <w:rPr>
          <w:rFonts w:eastAsia="Times New Roman"/>
          <w:i/>
        </w:rPr>
        <w:t>Termamyl</w:t>
      </w:r>
      <w:proofErr w:type="spellEnd"/>
      <w:r w:rsidRPr="001C046B">
        <w:rPr>
          <w:rFonts w:eastAsia="Times New Roman"/>
          <w:i/>
        </w:rPr>
        <w:t>)</w:t>
      </w:r>
      <w:r w:rsidRPr="001C046B">
        <w:rPr>
          <w:rFonts w:eastAsia="Times New Roman"/>
        </w:rPr>
        <w:t xml:space="preserve">: (Carolina Biologicals </w:t>
      </w:r>
      <w:r w:rsidRPr="001C046B">
        <w:rPr>
          <w:rFonts w:eastAsia="Times New Roman"/>
          <w:i/>
          <w:iCs/>
        </w:rPr>
        <w:t>Cat# 202410</w:t>
      </w:r>
      <w:r w:rsidRPr="001C046B">
        <w:rPr>
          <w:rFonts w:eastAsia="Times New Roman"/>
        </w:rPr>
        <w:t>)</w:t>
      </w:r>
    </w:p>
    <w:p w14:paraId="1282990E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  <w:b/>
        </w:rPr>
      </w:pPr>
    </w:p>
    <w:p w14:paraId="3736611D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  <w:r w:rsidRPr="001C046B">
        <w:rPr>
          <w:rFonts w:eastAsia="Times New Roman"/>
          <w:b/>
        </w:rPr>
        <w:t>S</w:t>
      </w:r>
      <w:r>
        <w:rPr>
          <w:rFonts w:eastAsia="Times New Roman"/>
          <w:b/>
        </w:rPr>
        <w:t>tock solution</w:t>
      </w:r>
      <w:r w:rsidRPr="001C046B">
        <w:rPr>
          <w:rFonts w:eastAsia="Times New Roman"/>
          <w:b/>
        </w:rPr>
        <w:t xml:space="preserve"> (0.1%)</w:t>
      </w:r>
      <w:r w:rsidRPr="001C046B">
        <w:rPr>
          <w:rFonts w:eastAsia="Times New Roman"/>
        </w:rPr>
        <w:t xml:space="preserve">: Mix 0.25 ml of </w:t>
      </w:r>
      <w:proofErr w:type="spellStart"/>
      <w:r w:rsidRPr="001C046B">
        <w:rPr>
          <w:rFonts w:eastAsia="Times New Roman"/>
        </w:rPr>
        <w:t>Termamyl</w:t>
      </w:r>
      <w:proofErr w:type="spellEnd"/>
      <w:r w:rsidRPr="001C046B">
        <w:rPr>
          <w:rFonts w:eastAsia="Times New Roman"/>
        </w:rPr>
        <w:t xml:space="preserve"> with 250 ml of deionized water. Distribute 1.4 ml of 0.1% </w:t>
      </w:r>
      <w:proofErr w:type="spellStart"/>
      <w:r w:rsidRPr="001C046B">
        <w:rPr>
          <w:rFonts w:eastAsia="Times New Roman"/>
        </w:rPr>
        <w:t>Termamyl</w:t>
      </w:r>
      <w:proofErr w:type="spellEnd"/>
      <w:r w:rsidRPr="001C046B">
        <w:rPr>
          <w:rFonts w:eastAsia="Times New Roman"/>
        </w:rPr>
        <w:t xml:space="preserve"> to each microfuge tube and store at 4°C refrigerator.</w:t>
      </w:r>
    </w:p>
    <w:p w14:paraId="3C3863C3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</w:p>
    <w:p w14:paraId="5A57FB97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  <w:r w:rsidRPr="001C046B">
        <w:rPr>
          <w:rFonts w:eastAsia="Times New Roman"/>
          <w:b/>
        </w:rPr>
        <w:t>W</w:t>
      </w:r>
      <w:r>
        <w:rPr>
          <w:rFonts w:eastAsia="Times New Roman"/>
          <w:b/>
        </w:rPr>
        <w:t>orking solution</w:t>
      </w:r>
      <w:r w:rsidRPr="001C046B">
        <w:rPr>
          <w:rFonts w:eastAsia="Times New Roman"/>
          <w:b/>
        </w:rPr>
        <w:t xml:space="preserve"> (1:10 dilution of Stock solution): </w:t>
      </w:r>
      <w:r w:rsidRPr="001C046B">
        <w:rPr>
          <w:rFonts w:eastAsia="Times New Roman"/>
        </w:rPr>
        <w:t>100 ul of stock solution mixed with 900 ul of deionized water (Final dilution is 1:10000)</w:t>
      </w:r>
    </w:p>
    <w:p w14:paraId="7C5BC231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</w:p>
    <w:p w14:paraId="6735D90B" w14:textId="77777777" w:rsidR="00DD2451" w:rsidRPr="001C046B" w:rsidRDefault="00DD2451" w:rsidP="00DD2451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="Times New Roman"/>
        </w:rPr>
      </w:pPr>
      <w:r w:rsidRPr="001C046B">
        <w:rPr>
          <w:rFonts w:eastAsia="Times New Roman"/>
          <w:b/>
          <w:bCs/>
          <w:iCs/>
          <w:u w:val="single"/>
        </w:rPr>
        <w:t>Human Amylase</w:t>
      </w:r>
      <w:r w:rsidRPr="001C046B">
        <w:rPr>
          <w:rFonts w:eastAsia="Times New Roman"/>
          <w:b/>
          <w:bCs/>
          <w:iCs/>
        </w:rPr>
        <w:t xml:space="preserve">: </w:t>
      </w:r>
      <w:r w:rsidRPr="001C046B">
        <w:rPr>
          <w:rFonts w:eastAsia="Times New Roman"/>
          <w:i/>
        </w:rPr>
        <w:t>α-Amylase from Human saliva: (Sigma Cat# A0521-500UN)</w:t>
      </w:r>
    </w:p>
    <w:p w14:paraId="17D475F5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  <w:r w:rsidRPr="001C046B">
        <w:rPr>
          <w:rFonts w:eastAsia="Times New Roman"/>
          <w:b/>
        </w:rPr>
        <w:t>S</w:t>
      </w:r>
      <w:r>
        <w:rPr>
          <w:rFonts w:eastAsia="Times New Roman"/>
          <w:b/>
        </w:rPr>
        <w:t>tock solution</w:t>
      </w:r>
      <w:r w:rsidRPr="001C046B">
        <w:rPr>
          <w:rFonts w:eastAsia="Times New Roman"/>
          <w:b/>
        </w:rPr>
        <w:t xml:space="preserve">: </w:t>
      </w:r>
      <w:r w:rsidRPr="001C046B">
        <w:rPr>
          <w:rFonts w:eastAsia="Times New Roman"/>
        </w:rPr>
        <w:t>Suspend the whole powder (3.13 mg solid) in vial with 1 ml of 1% BSA.</w:t>
      </w:r>
    </w:p>
    <w:p w14:paraId="4CBDEE40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</w:p>
    <w:p w14:paraId="2D69FA92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  <w:r w:rsidRPr="001C046B">
        <w:rPr>
          <w:rFonts w:eastAsia="Times New Roman"/>
          <w:b/>
        </w:rPr>
        <w:t>W</w:t>
      </w:r>
      <w:r>
        <w:rPr>
          <w:rFonts w:eastAsia="Times New Roman"/>
          <w:b/>
        </w:rPr>
        <w:t>orking solution</w:t>
      </w:r>
      <w:r w:rsidRPr="001C046B">
        <w:rPr>
          <w:rFonts w:eastAsia="Times New Roman"/>
          <w:b/>
        </w:rPr>
        <w:t xml:space="preserve">: </w:t>
      </w:r>
      <w:r w:rsidRPr="001C046B">
        <w:rPr>
          <w:rFonts w:eastAsia="Times New Roman"/>
        </w:rPr>
        <w:t>Dilute the working solution 1:20 times with 0.1% BSA.</w:t>
      </w:r>
    </w:p>
    <w:p w14:paraId="55BE8D67" w14:textId="77777777" w:rsidR="00DD2451" w:rsidRPr="001C046B" w:rsidRDefault="00DD2451" w:rsidP="00DD2451">
      <w:pPr>
        <w:spacing w:after="200" w:line="276" w:lineRule="auto"/>
        <w:ind w:left="720"/>
        <w:contextualSpacing/>
        <w:rPr>
          <w:rFonts w:eastAsia="Times New Roman"/>
        </w:rPr>
      </w:pPr>
      <w:r w:rsidRPr="001C046B">
        <w:rPr>
          <w:rFonts w:eastAsia="Times New Roman"/>
          <w:b/>
        </w:rPr>
        <w:t>5% Starch solution in deionized water:</w:t>
      </w:r>
      <w:r w:rsidRPr="001C046B">
        <w:rPr>
          <w:rFonts w:eastAsia="Times New Roman"/>
        </w:rPr>
        <w:t xml:space="preserve"> Dissolve 100g Soluble starch [from refrigerator, Cat# 85642-100G (Sigma)] in 2000 ml of deionized water and distribute to 15 ml conical tubes (14 ml in each). Store in refrigerator (4°C) for immediate use or in freezer (-20°C) for later use. </w:t>
      </w:r>
    </w:p>
    <w:p w14:paraId="0A438482" w14:textId="77777777" w:rsidR="00DD2451" w:rsidRPr="001C046B" w:rsidRDefault="00DD2451" w:rsidP="00DD245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2"/>
          <w:szCs w:val="22"/>
        </w:rPr>
      </w:pPr>
      <w:r w:rsidRPr="001C046B">
        <w:rPr>
          <w:rFonts w:eastAsia="Times New Roman"/>
          <w:b/>
          <w:sz w:val="22"/>
          <w:szCs w:val="22"/>
        </w:rPr>
        <w:t>0.25% Maltose in deionized water:</w:t>
      </w:r>
      <w:r w:rsidRPr="001C046B">
        <w:rPr>
          <w:rFonts w:eastAsia="Times New Roman"/>
          <w:sz w:val="22"/>
          <w:szCs w:val="22"/>
        </w:rPr>
        <w:t xml:space="preserve"> Dissolve 1.25g Maltose in 500 ml of deionized water and distribute in 15 ml conical tubes (5 ml in each). Store in refrigerator. Equilibrate it to room temperature before use.</w:t>
      </w:r>
    </w:p>
    <w:p w14:paraId="5B3F2BC4" w14:textId="77777777" w:rsidR="00DD2451" w:rsidRPr="001C046B" w:rsidRDefault="00DD2451" w:rsidP="00DD2451">
      <w:pPr>
        <w:pStyle w:val="ListParagraph"/>
        <w:widowControl/>
        <w:autoSpaceDE/>
        <w:autoSpaceDN/>
        <w:adjustRightInd/>
        <w:spacing w:after="200" w:line="276" w:lineRule="auto"/>
        <w:ind w:left="720" w:firstLine="0"/>
        <w:contextualSpacing/>
        <w:rPr>
          <w:rFonts w:eastAsia="Times New Roman"/>
          <w:b/>
          <w:sz w:val="22"/>
          <w:szCs w:val="22"/>
        </w:rPr>
      </w:pPr>
    </w:p>
    <w:p w14:paraId="217EF56B" w14:textId="77777777" w:rsidR="00DD2451" w:rsidRPr="001C046B" w:rsidRDefault="00DD2451" w:rsidP="00DD245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2"/>
          <w:szCs w:val="22"/>
        </w:rPr>
      </w:pPr>
      <w:r w:rsidRPr="001C046B">
        <w:rPr>
          <w:rFonts w:eastAsia="Times New Roman"/>
          <w:b/>
          <w:sz w:val="22"/>
          <w:szCs w:val="22"/>
        </w:rPr>
        <w:t>DNS reagent:</w:t>
      </w:r>
      <w:r w:rsidRPr="001C046B">
        <w:rPr>
          <w:rFonts w:eastAsia="Times New Roman"/>
          <w:sz w:val="22"/>
          <w:szCs w:val="22"/>
        </w:rPr>
        <w:t xml:space="preserve"> </w:t>
      </w:r>
      <w:r w:rsidRPr="001C046B">
        <w:rPr>
          <w:rFonts w:eastAsia="Times New Roman"/>
          <w:color w:val="231F20"/>
          <w:sz w:val="22"/>
          <w:szCs w:val="22"/>
        </w:rPr>
        <w:t xml:space="preserve">This reagent is a 1:1 mixture of 30% potassium sodium tartrate in 0.4 M NaOH, and 2% </w:t>
      </w:r>
      <w:proofErr w:type="spellStart"/>
      <w:r w:rsidRPr="001C046B">
        <w:rPr>
          <w:rFonts w:eastAsia="Times New Roman"/>
          <w:color w:val="231F20"/>
          <w:sz w:val="22"/>
          <w:szCs w:val="22"/>
        </w:rPr>
        <w:t>dini</w:t>
      </w:r>
      <w:r w:rsidRPr="001C046B">
        <w:rPr>
          <w:rFonts w:eastAsia="Times New Roman"/>
          <w:color w:val="231F20"/>
          <w:spacing w:val="-1"/>
          <w:sz w:val="22"/>
          <w:szCs w:val="22"/>
        </w:rPr>
        <w:t>t</w:t>
      </w:r>
      <w:r w:rsidRPr="001C046B">
        <w:rPr>
          <w:rFonts w:eastAsia="Times New Roman"/>
          <w:color w:val="231F20"/>
          <w:sz w:val="22"/>
          <w:szCs w:val="22"/>
        </w:rPr>
        <w:t>rosalicylic</w:t>
      </w:r>
      <w:proofErr w:type="spellEnd"/>
      <w:r w:rsidRPr="001C046B">
        <w:rPr>
          <w:rFonts w:eastAsia="Times New Roman"/>
          <w:color w:val="231F20"/>
          <w:sz w:val="22"/>
          <w:szCs w:val="22"/>
        </w:rPr>
        <w:t xml:space="preserve"> acid in 0.4 M NaOH.</w:t>
      </w:r>
      <w:r w:rsidRPr="001C046B">
        <w:rPr>
          <w:rFonts w:eastAsia="Times New Roman"/>
          <w:b/>
          <w:sz w:val="22"/>
          <w:szCs w:val="22"/>
        </w:rPr>
        <w:t xml:space="preserve"> </w:t>
      </w:r>
      <w:r w:rsidRPr="001C046B">
        <w:rPr>
          <w:rFonts w:eastAsia="Times New Roman"/>
          <w:sz w:val="22"/>
          <w:szCs w:val="22"/>
        </w:rPr>
        <w:t>For 2 liters DNS solution, mix 20g di-nitro-salicylic acid in 1500 ml deionized water, add slowly 300 g of Potassium sodium tartrate under constant stirring, add 64 ml of 50% W/W Sodium hydroxide (12.5 M NaOH). Finally adjust the volume up to 2 liters with deionized water.</w:t>
      </w:r>
    </w:p>
    <w:p w14:paraId="1E99BCF9" w14:textId="77777777" w:rsidR="00DD2451" w:rsidRPr="001C046B" w:rsidRDefault="00DD2451" w:rsidP="00DD2451">
      <w:pPr>
        <w:pStyle w:val="ListParagraph"/>
        <w:rPr>
          <w:rFonts w:eastAsia="Times New Roman"/>
          <w:b/>
          <w:sz w:val="22"/>
          <w:szCs w:val="22"/>
        </w:rPr>
      </w:pPr>
    </w:p>
    <w:p w14:paraId="0AF371A7" w14:textId="77777777" w:rsidR="00DD2451" w:rsidRPr="001C046B" w:rsidRDefault="00DD2451" w:rsidP="00DD2451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2"/>
          <w:szCs w:val="22"/>
        </w:rPr>
      </w:pPr>
      <w:r w:rsidRPr="001C046B">
        <w:rPr>
          <w:rFonts w:eastAsia="Times New Roman"/>
          <w:b/>
          <w:sz w:val="22"/>
          <w:szCs w:val="22"/>
        </w:rPr>
        <w:t>pH buffers</w:t>
      </w:r>
      <w:r w:rsidRPr="001C046B">
        <w:rPr>
          <w:rFonts w:eastAsia="Times New Roman"/>
          <w:sz w:val="22"/>
          <w:szCs w:val="22"/>
        </w:rPr>
        <w:t>:</w:t>
      </w:r>
      <w:r>
        <w:rPr>
          <w:rFonts w:eastAsia="Times New Roman"/>
          <w:sz w:val="22"/>
          <w:szCs w:val="22"/>
        </w:rPr>
        <w:t xml:space="preserve"> pH 1 buffer (VWR cat# </w:t>
      </w:r>
      <w:r w:rsidRPr="00613BB3">
        <w:rPr>
          <w:rFonts w:eastAsia="Times New Roman"/>
          <w:sz w:val="22"/>
          <w:szCs w:val="22"/>
        </w:rPr>
        <w:t>BDH5002-500</w:t>
      </w:r>
      <w:r>
        <w:rPr>
          <w:rFonts w:eastAsia="Times New Roman"/>
          <w:sz w:val="22"/>
          <w:szCs w:val="22"/>
        </w:rPr>
        <w:t xml:space="preserve"> ml), pH 3 buffer (VWR cat# </w:t>
      </w:r>
      <w:r w:rsidRPr="00613BB3">
        <w:rPr>
          <w:rFonts w:eastAsia="Times New Roman"/>
          <w:sz w:val="22"/>
          <w:szCs w:val="22"/>
        </w:rPr>
        <w:t>BDH50</w:t>
      </w:r>
      <w:r>
        <w:rPr>
          <w:rFonts w:eastAsia="Times New Roman"/>
          <w:sz w:val="22"/>
          <w:szCs w:val="22"/>
        </w:rPr>
        <w:t>14</w:t>
      </w:r>
      <w:r w:rsidRPr="00613BB3">
        <w:rPr>
          <w:rFonts w:eastAsia="Times New Roman"/>
          <w:sz w:val="22"/>
          <w:szCs w:val="22"/>
        </w:rPr>
        <w:t>-500</w:t>
      </w:r>
      <w:r>
        <w:rPr>
          <w:rFonts w:eastAsia="Times New Roman"/>
          <w:sz w:val="22"/>
          <w:szCs w:val="22"/>
        </w:rPr>
        <w:t xml:space="preserve"> ml), pH 5 buffer (VWR cat# </w:t>
      </w:r>
      <w:r w:rsidRPr="00613BB3">
        <w:rPr>
          <w:rFonts w:eastAsia="Times New Roman"/>
          <w:sz w:val="22"/>
          <w:szCs w:val="22"/>
        </w:rPr>
        <w:t>BDH50</w:t>
      </w:r>
      <w:r>
        <w:rPr>
          <w:rFonts w:eastAsia="Times New Roman"/>
          <w:sz w:val="22"/>
          <w:szCs w:val="22"/>
        </w:rPr>
        <w:t>34</w:t>
      </w:r>
      <w:r w:rsidRPr="00613BB3">
        <w:rPr>
          <w:rFonts w:eastAsia="Times New Roman"/>
          <w:sz w:val="22"/>
          <w:szCs w:val="22"/>
        </w:rPr>
        <w:t>-500</w:t>
      </w:r>
      <w:r>
        <w:rPr>
          <w:rFonts w:eastAsia="Times New Roman"/>
          <w:sz w:val="22"/>
          <w:szCs w:val="22"/>
        </w:rPr>
        <w:t xml:space="preserve"> ml), pH 7 buffer (VWR cat# </w:t>
      </w:r>
      <w:r w:rsidRPr="00613BB3">
        <w:rPr>
          <w:rFonts w:eastAsia="Times New Roman"/>
          <w:sz w:val="22"/>
          <w:szCs w:val="22"/>
        </w:rPr>
        <w:t>BDH50</w:t>
      </w:r>
      <w:r>
        <w:rPr>
          <w:rFonts w:eastAsia="Times New Roman"/>
          <w:sz w:val="22"/>
          <w:szCs w:val="22"/>
        </w:rPr>
        <w:t>5</w:t>
      </w:r>
      <w:r w:rsidRPr="00613BB3">
        <w:rPr>
          <w:rFonts w:eastAsia="Times New Roman"/>
          <w:sz w:val="22"/>
          <w:szCs w:val="22"/>
        </w:rPr>
        <w:t>2-500</w:t>
      </w:r>
      <w:r>
        <w:rPr>
          <w:rFonts w:eastAsia="Times New Roman"/>
          <w:sz w:val="22"/>
          <w:szCs w:val="22"/>
        </w:rPr>
        <w:t xml:space="preserve"> ml), pH 9 buffer (VWR cat# </w:t>
      </w:r>
      <w:r w:rsidRPr="00613BB3">
        <w:rPr>
          <w:rFonts w:eastAsia="Times New Roman"/>
          <w:sz w:val="22"/>
          <w:szCs w:val="22"/>
        </w:rPr>
        <w:t>BDH50</w:t>
      </w:r>
      <w:r>
        <w:rPr>
          <w:rFonts w:eastAsia="Times New Roman"/>
          <w:sz w:val="22"/>
          <w:szCs w:val="22"/>
        </w:rPr>
        <w:t>6</w:t>
      </w:r>
      <w:r w:rsidRPr="00613BB3">
        <w:rPr>
          <w:rFonts w:eastAsia="Times New Roman"/>
          <w:sz w:val="22"/>
          <w:szCs w:val="22"/>
        </w:rPr>
        <w:t>2-500</w:t>
      </w:r>
      <w:r>
        <w:rPr>
          <w:rFonts w:eastAsia="Times New Roman"/>
          <w:sz w:val="22"/>
          <w:szCs w:val="22"/>
        </w:rPr>
        <w:t xml:space="preserve"> ml), and pH 12 buffer (VWR cat# </w:t>
      </w:r>
      <w:r w:rsidRPr="00613BB3">
        <w:rPr>
          <w:rFonts w:eastAsia="Times New Roman"/>
          <w:sz w:val="22"/>
          <w:szCs w:val="22"/>
        </w:rPr>
        <w:t>BDH50</w:t>
      </w:r>
      <w:r>
        <w:rPr>
          <w:rFonts w:eastAsia="Times New Roman"/>
          <w:sz w:val="22"/>
          <w:szCs w:val="22"/>
        </w:rPr>
        <w:t>86</w:t>
      </w:r>
      <w:r w:rsidRPr="00613BB3">
        <w:rPr>
          <w:rFonts w:eastAsia="Times New Roman"/>
          <w:sz w:val="22"/>
          <w:szCs w:val="22"/>
        </w:rPr>
        <w:t>-500</w:t>
      </w:r>
      <w:r>
        <w:rPr>
          <w:rFonts w:eastAsia="Times New Roman"/>
          <w:sz w:val="22"/>
          <w:szCs w:val="22"/>
        </w:rPr>
        <w:t xml:space="preserve"> ml).</w:t>
      </w:r>
    </w:p>
    <w:p w14:paraId="385BDB4D" w14:textId="77777777" w:rsidR="00DD2451" w:rsidRDefault="00DD2451" w:rsidP="00DD2451">
      <w:pPr>
        <w:ind w:right="-20"/>
        <w:rPr>
          <w:rFonts w:eastAsia="Times New Roman"/>
          <w:b/>
          <w:bCs/>
          <w:color w:val="231F20"/>
          <w:sz w:val="24"/>
          <w:szCs w:val="24"/>
        </w:rPr>
      </w:pPr>
    </w:p>
    <w:p w14:paraId="36F8E553" w14:textId="77777777" w:rsidR="00DD2451" w:rsidRDefault="00DD2451" w:rsidP="00DD2451">
      <w:pPr>
        <w:ind w:right="-20"/>
        <w:rPr>
          <w:rFonts w:eastAsia="Times New Roman"/>
          <w:b/>
          <w:bCs/>
          <w:color w:val="231F20"/>
          <w:sz w:val="24"/>
          <w:szCs w:val="24"/>
        </w:rPr>
      </w:pPr>
    </w:p>
    <w:p w14:paraId="05827E84" w14:textId="77777777" w:rsidR="00DD2451" w:rsidRDefault="00DD2451" w:rsidP="00DD2451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  <w:color w:val="231F20"/>
          <w:sz w:val="24"/>
          <w:szCs w:val="24"/>
        </w:rPr>
      </w:pPr>
      <w:r>
        <w:rPr>
          <w:rFonts w:eastAsia="Times New Roman"/>
          <w:b/>
          <w:bCs/>
          <w:color w:val="231F20"/>
          <w:sz w:val="24"/>
          <w:szCs w:val="24"/>
        </w:rPr>
        <w:br w:type="page"/>
      </w:r>
    </w:p>
    <w:p w14:paraId="7A3C4DDD" w14:textId="77777777" w:rsidR="00DD2451" w:rsidRPr="001C046B" w:rsidRDefault="00DD2451" w:rsidP="00DD2451">
      <w:pPr>
        <w:ind w:right="-20"/>
        <w:rPr>
          <w:rFonts w:eastAsia="Times New Roman"/>
          <w:u w:val="single"/>
        </w:rPr>
      </w:pPr>
      <w:r w:rsidRPr="001C046B">
        <w:rPr>
          <w:rFonts w:eastAsia="Times New Roman"/>
          <w:b/>
          <w:bCs/>
          <w:color w:val="231F20"/>
          <w:u w:val="single"/>
        </w:rPr>
        <w:lastRenderedPageBreak/>
        <w:t>Equipment and Materials</w:t>
      </w:r>
      <w:r w:rsidRPr="001C046B">
        <w:rPr>
          <w:rFonts w:eastAsia="Times New Roman"/>
          <w:b/>
          <w:bCs/>
          <w:color w:val="231F20"/>
          <w:spacing w:val="-10"/>
          <w:u w:val="single"/>
        </w:rPr>
        <w:t xml:space="preserve"> </w:t>
      </w:r>
      <w:r w:rsidRPr="001C046B">
        <w:rPr>
          <w:rFonts w:eastAsia="Times New Roman"/>
          <w:b/>
          <w:bCs/>
          <w:color w:val="231F20"/>
          <w:spacing w:val="-4"/>
          <w:u w:val="single"/>
        </w:rPr>
        <w:t>r</w:t>
      </w:r>
      <w:r w:rsidRPr="001C046B">
        <w:rPr>
          <w:rFonts w:eastAsia="Times New Roman"/>
          <w:b/>
          <w:bCs/>
          <w:color w:val="231F20"/>
          <w:u w:val="single"/>
        </w:rPr>
        <w:t>equi</w:t>
      </w:r>
      <w:r w:rsidRPr="001C046B">
        <w:rPr>
          <w:rFonts w:eastAsia="Times New Roman"/>
          <w:b/>
          <w:bCs/>
          <w:color w:val="231F20"/>
          <w:spacing w:val="-4"/>
          <w:u w:val="single"/>
        </w:rPr>
        <w:t>r</w:t>
      </w:r>
      <w:r w:rsidRPr="001C046B">
        <w:rPr>
          <w:rFonts w:eastAsia="Times New Roman"/>
          <w:b/>
          <w:bCs/>
          <w:color w:val="231F20"/>
          <w:u w:val="single"/>
        </w:rPr>
        <w:t>ed</w:t>
      </w:r>
      <w:r w:rsidRPr="001C046B">
        <w:rPr>
          <w:rFonts w:eastAsia="Times New Roman"/>
          <w:b/>
          <w:bCs/>
          <w:color w:val="231F20"/>
        </w:rPr>
        <w:t>:</w:t>
      </w:r>
    </w:p>
    <w:p w14:paraId="76841529" w14:textId="77777777" w:rsidR="00DD2451" w:rsidRPr="001C046B" w:rsidRDefault="00DD2451" w:rsidP="00DD2451">
      <w:pPr>
        <w:ind w:right="-20"/>
        <w:rPr>
          <w:rFonts w:eastAsia="Times New Roman"/>
          <w:b/>
          <w:bCs/>
          <w:color w:val="231F20"/>
        </w:rPr>
      </w:pPr>
    </w:p>
    <w:p w14:paraId="442CCC17" w14:textId="77777777" w:rsidR="00DD2451" w:rsidRPr="001C046B" w:rsidRDefault="00DD2451" w:rsidP="00DD2451">
      <w:pPr>
        <w:ind w:right="-20"/>
        <w:rPr>
          <w:rFonts w:eastAsia="Times New Roman"/>
          <w:b/>
          <w:bCs/>
          <w:color w:val="231F20"/>
        </w:rPr>
      </w:pPr>
      <w:r w:rsidRPr="001C046B">
        <w:rPr>
          <w:rFonts w:eastAsia="Times New Roman"/>
          <w:b/>
          <w:bCs/>
          <w:color w:val="231F20"/>
        </w:rPr>
        <w:t>Standard curve for Maltose:</w:t>
      </w:r>
    </w:p>
    <w:p w14:paraId="059E747D" w14:textId="77777777" w:rsidR="00DD2451" w:rsidRPr="001C046B" w:rsidRDefault="00DD2451" w:rsidP="00DD2451">
      <w:pPr>
        <w:ind w:right="-20"/>
        <w:rPr>
          <w:rFonts w:eastAsia="Times New Roman"/>
          <w:b/>
          <w:bCs/>
          <w:color w:val="231F20"/>
        </w:rPr>
      </w:pPr>
    </w:p>
    <w:p w14:paraId="2AE782A1" w14:textId="77777777" w:rsidR="00DD2451" w:rsidRPr="0088243A" w:rsidRDefault="00DD2451" w:rsidP="00DD2451">
      <w:pPr>
        <w:widowControl/>
        <w:numPr>
          <w:ilvl w:val="0"/>
          <w:numId w:val="3"/>
        </w:numPr>
        <w:autoSpaceDE/>
        <w:autoSpaceDN/>
        <w:adjustRightInd/>
        <w:spacing w:line="250" w:lineRule="auto"/>
        <w:ind w:right="247"/>
        <w:contextualSpacing/>
        <w:rPr>
          <w:rFonts w:eastAsia="Times New Roman"/>
          <w:color w:val="231F20"/>
        </w:rPr>
      </w:pPr>
      <w:r w:rsidRPr="0088243A">
        <w:rPr>
          <w:rFonts w:eastAsia="Times New Roman"/>
          <w:color w:val="231F20"/>
        </w:rPr>
        <w:t>Maltose solution (0.25% in deionized water)</w:t>
      </w:r>
    </w:p>
    <w:p w14:paraId="0E8B1C34" w14:textId="77777777" w:rsidR="00DD2451" w:rsidRPr="001C046B" w:rsidRDefault="00DD2451" w:rsidP="00DD2451">
      <w:pPr>
        <w:widowControl/>
        <w:numPr>
          <w:ilvl w:val="0"/>
          <w:numId w:val="3"/>
        </w:numPr>
        <w:autoSpaceDE/>
        <w:autoSpaceDN/>
        <w:adjustRightInd/>
        <w:spacing w:line="250" w:lineRule="auto"/>
        <w:ind w:right="247"/>
        <w:contextualSpacing/>
        <w:rPr>
          <w:rFonts w:eastAsia="Times New Roman"/>
        </w:rPr>
      </w:pPr>
      <w:r w:rsidRPr="001C046B">
        <w:rPr>
          <w:rFonts w:eastAsia="Times New Roman"/>
          <w:color w:val="231F20"/>
          <w:position w:val="-1"/>
        </w:rPr>
        <w:t>Deionized water</w:t>
      </w:r>
    </w:p>
    <w:p w14:paraId="09C5B5D6" w14:textId="77777777" w:rsidR="00DD2451" w:rsidRPr="001C046B" w:rsidRDefault="00DD2451" w:rsidP="00DD2451">
      <w:pPr>
        <w:widowControl/>
        <w:numPr>
          <w:ilvl w:val="0"/>
          <w:numId w:val="3"/>
        </w:numPr>
        <w:autoSpaceDE/>
        <w:autoSpaceDN/>
        <w:adjustRightInd/>
        <w:ind w:right="-20"/>
        <w:contextualSpacing/>
        <w:rPr>
          <w:rFonts w:eastAsia="Times New Roman"/>
        </w:rPr>
      </w:pPr>
      <w:r w:rsidRPr="001C046B">
        <w:rPr>
          <w:rFonts w:eastAsia="Times New Roman"/>
          <w:color w:val="231F20"/>
        </w:rPr>
        <w:t>Six test tubes</w:t>
      </w:r>
    </w:p>
    <w:p w14:paraId="00DD760A" w14:textId="77777777" w:rsidR="00DD2451" w:rsidRPr="0088243A" w:rsidRDefault="00DD2451" w:rsidP="00DD2451">
      <w:pPr>
        <w:pStyle w:val="ListParagraph"/>
        <w:numPr>
          <w:ilvl w:val="0"/>
          <w:numId w:val="3"/>
        </w:numPr>
        <w:spacing w:line="250" w:lineRule="auto"/>
        <w:ind w:right="120"/>
        <w:jc w:val="both"/>
        <w:rPr>
          <w:rFonts w:eastAsia="Times New Roman"/>
          <w:sz w:val="22"/>
          <w:szCs w:val="22"/>
        </w:rPr>
      </w:pPr>
      <w:r w:rsidRPr="0088243A">
        <w:rPr>
          <w:rFonts w:eastAsia="Times New Roman"/>
          <w:color w:val="231F20"/>
          <w:sz w:val="22"/>
          <w:szCs w:val="22"/>
        </w:rPr>
        <w:t xml:space="preserve">DNS reagent </w:t>
      </w:r>
    </w:p>
    <w:p w14:paraId="4B05FFF3" w14:textId="77777777" w:rsidR="00DD2451" w:rsidRPr="001C046B" w:rsidRDefault="00DD2451" w:rsidP="00DD2451">
      <w:pPr>
        <w:pStyle w:val="ListParagraph"/>
        <w:numPr>
          <w:ilvl w:val="0"/>
          <w:numId w:val="3"/>
        </w:numPr>
        <w:ind w:right="-20"/>
        <w:rPr>
          <w:rFonts w:eastAsia="Times New Roman"/>
          <w:sz w:val="22"/>
          <w:szCs w:val="22"/>
        </w:rPr>
      </w:pPr>
      <w:proofErr w:type="spellStart"/>
      <w:r w:rsidRPr="001C046B">
        <w:rPr>
          <w:rFonts w:eastAsia="Times New Roman"/>
          <w:color w:val="231F20"/>
          <w:sz w:val="22"/>
          <w:szCs w:val="22"/>
        </w:rPr>
        <w:t>Micropipettors</w:t>
      </w:r>
      <w:proofErr w:type="spellEnd"/>
      <w:r w:rsidRPr="001C046B">
        <w:rPr>
          <w:rFonts w:eastAsia="Times New Roman"/>
          <w:color w:val="231F20"/>
          <w:sz w:val="22"/>
          <w:szCs w:val="22"/>
        </w:rPr>
        <w:t xml:space="preserve"> with appropriate tips. </w:t>
      </w:r>
    </w:p>
    <w:p w14:paraId="4038EE76" w14:textId="77777777" w:rsidR="00DD2451" w:rsidRPr="001C046B" w:rsidRDefault="00DD2451" w:rsidP="00DD2451">
      <w:pPr>
        <w:pStyle w:val="ListParagraph"/>
        <w:numPr>
          <w:ilvl w:val="0"/>
          <w:numId w:val="3"/>
        </w:numPr>
        <w:ind w:right="-20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10 mL</w:t>
      </w:r>
      <w:r w:rsidRPr="001C046B">
        <w:rPr>
          <w:rFonts w:eastAsia="Times New Roman"/>
          <w:color w:val="231F20"/>
          <w:spacing w:val="-9"/>
          <w:sz w:val="22"/>
          <w:szCs w:val="22"/>
        </w:rPr>
        <w:t xml:space="preserve"> </w:t>
      </w:r>
      <w:r w:rsidRPr="001C046B">
        <w:rPr>
          <w:rFonts w:eastAsia="Times New Roman"/>
          <w:color w:val="231F20"/>
          <w:sz w:val="22"/>
          <w:szCs w:val="22"/>
        </w:rPr>
        <w:t>glass pipette and plastic pipettor</w:t>
      </w:r>
    </w:p>
    <w:p w14:paraId="6320FA5C" w14:textId="77777777" w:rsidR="00DD2451" w:rsidRPr="001C046B" w:rsidRDefault="00DD2451" w:rsidP="00DD2451">
      <w:pPr>
        <w:pStyle w:val="ListParagraph"/>
        <w:numPr>
          <w:ilvl w:val="0"/>
          <w:numId w:val="3"/>
        </w:numPr>
        <w:spacing w:line="271" w:lineRule="exact"/>
        <w:ind w:right="-20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Spectrophotometer and a pair of cuvettes.</w:t>
      </w:r>
    </w:p>
    <w:p w14:paraId="03317EEE" w14:textId="77777777" w:rsidR="00DD2451" w:rsidRPr="001C046B" w:rsidRDefault="00DD2451" w:rsidP="00DD2451">
      <w:pPr>
        <w:spacing w:after="200" w:line="276" w:lineRule="auto"/>
        <w:rPr>
          <w:rFonts w:ascii="Calibri" w:eastAsia="Times New Roman" w:hAnsi="Calibri"/>
        </w:rPr>
      </w:pPr>
    </w:p>
    <w:p w14:paraId="1CDF2C55" w14:textId="77777777" w:rsidR="00DD2451" w:rsidRPr="001C046B" w:rsidRDefault="00DD2451" w:rsidP="00DD2451">
      <w:pPr>
        <w:spacing w:after="200" w:line="276" w:lineRule="auto"/>
        <w:rPr>
          <w:rFonts w:eastAsia="Times New Roman"/>
        </w:rPr>
      </w:pPr>
      <w:r w:rsidRPr="001C046B">
        <w:rPr>
          <w:rFonts w:eastAsia="Times New Roman"/>
          <w:b/>
        </w:rPr>
        <w:t>Hydrolysis of Starch:</w:t>
      </w:r>
    </w:p>
    <w:p w14:paraId="38B47161" w14:textId="77777777" w:rsidR="00DD2451" w:rsidRPr="001C046B" w:rsidRDefault="00DD2451" w:rsidP="00DD2451">
      <w:pPr>
        <w:pStyle w:val="ListParagraph"/>
        <w:numPr>
          <w:ilvl w:val="0"/>
          <w:numId w:val="4"/>
        </w:numPr>
        <w:spacing w:line="250" w:lineRule="auto"/>
        <w:ind w:right="247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Spectrophotometer and a pair of cuvettes.</w:t>
      </w:r>
      <w:r w:rsidRPr="001C046B">
        <w:rPr>
          <w:rFonts w:eastAsia="Times New Roman"/>
          <w:color w:val="231F20"/>
          <w:spacing w:val="50"/>
          <w:sz w:val="22"/>
          <w:szCs w:val="22"/>
        </w:rPr>
        <w:t xml:space="preserve"> </w:t>
      </w:r>
    </w:p>
    <w:p w14:paraId="7D6E5F11" w14:textId="77777777" w:rsidR="00DD2451" w:rsidRPr="0088243A" w:rsidRDefault="00DD2451" w:rsidP="00DD2451">
      <w:pPr>
        <w:pStyle w:val="ListParagraph"/>
        <w:numPr>
          <w:ilvl w:val="0"/>
          <w:numId w:val="4"/>
        </w:numPr>
        <w:spacing w:line="250" w:lineRule="auto"/>
        <w:ind w:right="185"/>
        <w:jc w:val="both"/>
        <w:rPr>
          <w:rFonts w:eastAsia="Times New Roman"/>
          <w:sz w:val="22"/>
          <w:szCs w:val="22"/>
        </w:rPr>
      </w:pPr>
      <w:r w:rsidRPr="0088243A">
        <w:rPr>
          <w:rFonts w:eastAsia="Times New Roman"/>
          <w:color w:val="231F20"/>
          <w:sz w:val="22"/>
          <w:szCs w:val="22"/>
        </w:rPr>
        <w:t xml:space="preserve">Starch solution (5% in deionized water) </w:t>
      </w:r>
    </w:p>
    <w:p w14:paraId="0E41FE4C" w14:textId="77777777" w:rsidR="00DD2451" w:rsidRPr="001C046B" w:rsidRDefault="00DD2451" w:rsidP="00DD2451">
      <w:pPr>
        <w:pStyle w:val="ListParagraph"/>
        <w:numPr>
          <w:ilvl w:val="0"/>
          <w:numId w:val="4"/>
        </w:numPr>
        <w:spacing w:line="250" w:lineRule="auto"/>
        <w:ind w:right="60"/>
        <w:jc w:val="both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Frozen amylase (enzyme) solution in microfuge tube(s) will be given to each group.</w:t>
      </w:r>
      <w:r w:rsidRPr="001C046B">
        <w:rPr>
          <w:rFonts w:eastAsia="Times New Roman"/>
          <w:color w:val="231F20"/>
          <w:spacing w:val="56"/>
          <w:sz w:val="22"/>
          <w:szCs w:val="22"/>
        </w:rPr>
        <w:t xml:space="preserve"> </w:t>
      </w:r>
      <w:r>
        <w:rPr>
          <w:rFonts w:eastAsia="Times New Roman"/>
          <w:color w:val="231F20"/>
          <w:sz w:val="22"/>
          <w:szCs w:val="22"/>
        </w:rPr>
        <w:t>Gently t</w:t>
      </w:r>
      <w:r w:rsidRPr="001C046B">
        <w:rPr>
          <w:rFonts w:eastAsia="Times New Roman"/>
          <w:color w:val="231F20"/>
          <w:sz w:val="22"/>
          <w:szCs w:val="22"/>
        </w:rPr>
        <w:t>haw tube</w:t>
      </w:r>
      <w:r>
        <w:rPr>
          <w:rFonts w:eastAsia="Times New Roman"/>
          <w:color w:val="231F20"/>
          <w:sz w:val="22"/>
          <w:szCs w:val="22"/>
        </w:rPr>
        <w:t>s</w:t>
      </w:r>
      <w:r w:rsidRPr="001C046B">
        <w:rPr>
          <w:rFonts w:eastAsia="Times New Roman"/>
          <w:color w:val="231F20"/>
          <w:sz w:val="22"/>
          <w:szCs w:val="22"/>
        </w:rPr>
        <w:t>.  Do not put them in boiling water baths.</w:t>
      </w:r>
    </w:p>
    <w:p w14:paraId="14C56B79" w14:textId="77777777" w:rsidR="00DD2451" w:rsidRPr="001C046B" w:rsidRDefault="00DD2451" w:rsidP="00DD2451">
      <w:pPr>
        <w:pStyle w:val="ListParagraph"/>
        <w:numPr>
          <w:ilvl w:val="0"/>
          <w:numId w:val="4"/>
        </w:numPr>
        <w:ind w:right="-20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pacing w:val="-19"/>
          <w:sz w:val="22"/>
          <w:szCs w:val="22"/>
        </w:rPr>
        <w:t>W</w:t>
      </w:r>
      <w:r w:rsidRPr="001C046B">
        <w:rPr>
          <w:rFonts w:eastAsia="Times New Roman"/>
          <w:color w:val="231F20"/>
          <w:sz w:val="22"/>
          <w:szCs w:val="22"/>
        </w:rPr>
        <w:t>ater baths fixed</w:t>
      </w:r>
      <w:r w:rsidRPr="001C046B">
        <w:rPr>
          <w:rFonts w:eastAsia="Times New Roman"/>
          <w:color w:val="231F20"/>
          <w:spacing w:val="-15"/>
          <w:sz w:val="22"/>
          <w:szCs w:val="22"/>
        </w:rPr>
        <w:t xml:space="preserve"> </w:t>
      </w:r>
      <w:r w:rsidRPr="001C046B">
        <w:rPr>
          <w:rFonts w:eastAsia="Times New Roman"/>
          <w:color w:val="231F20"/>
          <w:sz w:val="22"/>
          <w:szCs w:val="22"/>
        </w:rPr>
        <w:t>at 37°C, 45°C, 65°C, and 85°C</w:t>
      </w:r>
    </w:p>
    <w:p w14:paraId="74B8CDD5" w14:textId="77777777" w:rsidR="00DD2451" w:rsidRPr="001C046B" w:rsidRDefault="00DD2451" w:rsidP="00DD2451">
      <w:pPr>
        <w:pStyle w:val="ListParagraph"/>
        <w:numPr>
          <w:ilvl w:val="0"/>
          <w:numId w:val="4"/>
        </w:numPr>
        <w:ind w:right="-20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Ice and a beaker to make a 3°C ice bath</w:t>
      </w:r>
    </w:p>
    <w:p w14:paraId="70BD4C27" w14:textId="77777777" w:rsidR="00DD2451" w:rsidRPr="001C046B" w:rsidRDefault="00DD2451" w:rsidP="00DD2451">
      <w:pPr>
        <w:pStyle w:val="ListParagraph"/>
        <w:numPr>
          <w:ilvl w:val="0"/>
          <w:numId w:val="4"/>
        </w:numPr>
        <w:ind w:right="-20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Hot plate and a glass beaker for a boiling water bath</w:t>
      </w:r>
    </w:p>
    <w:p w14:paraId="291F640A" w14:textId="77777777" w:rsidR="00DD2451" w:rsidRPr="001C046B" w:rsidRDefault="00DD2451" w:rsidP="00DD2451">
      <w:pPr>
        <w:pStyle w:val="ListParagraph"/>
        <w:numPr>
          <w:ilvl w:val="0"/>
          <w:numId w:val="4"/>
        </w:numPr>
        <w:ind w:right="-20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Twelve test tubes</w:t>
      </w:r>
    </w:p>
    <w:p w14:paraId="344D8E74" w14:textId="77777777" w:rsidR="00DD2451" w:rsidRPr="001C046B" w:rsidRDefault="00DD2451" w:rsidP="00DD2451">
      <w:pPr>
        <w:pStyle w:val="ListParagraph"/>
        <w:numPr>
          <w:ilvl w:val="0"/>
          <w:numId w:val="4"/>
        </w:numPr>
        <w:spacing w:line="250" w:lineRule="auto"/>
        <w:ind w:right="120"/>
        <w:jc w:val="both"/>
        <w:rPr>
          <w:rFonts w:ascii="Calibri" w:eastAsia="Times New Roman" w:hAnsi="Calibri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DNS reagent</w:t>
      </w:r>
    </w:p>
    <w:p w14:paraId="1E5EC22C" w14:textId="77777777" w:rsidR="00DD2451" w:rsidRPr="001C046B" w:rsidRDefault="00DD2451" w:rsidP="00DD2451">
      <w:pPr>
        <w:pStyle w:val="ListParagraph"/>
        <w:numPr>
          <w:ilvl w:val="0"/>
          <w:numId w:val="4"/>
        </w:numPr>
        <w:ind w:right="-20"/>
        <w:rPr>
          <w:rFonts w:eastAsia="Times New Roman"/>
          <w:sz w:val="22"/>
          <w:szCs w:val="22"/>
        </w:rPr>
      </w:pPr>
      <w:proofErr w:type="spellStart"/>
      <w:r w:rsidRPr="001C046B">
        <w:rPr>
          <w:rFonts w:eastAsia="Times New Roman"/>
          <w:color w:val="231F20"/>
          <w:sz w:val="22"/>
          <w:szCs w:val="22"/>
        </w:rPr>
        <w:t>Micropipettors</w:t>
      </w:r>
      <w:proofErr w:type="spellEnd"/>
      <w:r w:rsidRPr="001C046B">
        <w:rPr>
          <w:rFonts w:eastAsia="Times New Roman"/>
          <w:color w:val="231F20"/>
          <w:sz w:val="22"/>
          <w:szCs w:val="22"/>
        </w:rPr>
        <w:t xml:space="preserve"> with appropriate tips for each </w:t>
      </w:r>
      <w:r>
        <w:rPr>
          <w:rFonts w:eastAsia="Times New Roman"/>
          <w:color w:val="231F20"/>
          <w:sz w:val="22"/>
          <w:szCs w:val="22"/>
        </w:rPr>
        <w:t>(</w:t>
      </w:r>
      <w:r w:rsidRPr="001C046B">
        <w:rPr>
          <w:rFonts w:eastAsia="Times New Roman"/>
          <w:color w:val="231F20"/>
          <w:sz w:val="22"/>
          <w:szCs w:val="22"/>
        </w:rPr>
        <w:t>1000µl, 100µl</w:t>
      </w:r>
      <w:r>
        <w:rPr>
          <w:rFonts w:eastAsia="Times New Roman"/>
          <w:color w:val="231F20"/>
          <w:sz w:val="22"/>
          <w:szCs w:val="22"/>
        </w:rPr>
        <w:t>)</w:t>
      </w:r>
      <w:r w:rsidRPr="001C046B">
        <w:rPr>
          <w:rFonts w:eastAsia="Times New Roman"/>
          <w:color w:val="231F20"/>
          <w:sz w:val="22"/>
          <w:szCs w:val="22"/>
        </w:rPr>
        <w:t>.</w:t>
      </w:r>
    </w:p>
    <w:p w14:paraId="344BD725" w14:textId="77777777" w:rsidR="00DD2451" w:rsidRPr="001C046B" w:rsidRDefault="00DD2451" w:rsidP="00DD2451">
      <w:pPr>
        <w:pStyle w:val="ListParagraph"/>
        <w:numPr>
          <w:ilvl w:val="0"/>
          <w:numId w:val="4"/>
        </w:numPr>
        <w:ind w:right="-20"/>
        <w:rPr>
          <w:rFonts w:eastAsia="Times New Roman"/>
          <w:sz w:val="22"/>
          <w:szCs w:val="22"/>
        </w:rPr>
      </w:pPr>
      <w:r w:rsidRPr="001C046B">
        <w:rPr>
          <w:rFonts w:eastAsia="Times New Roman"/>
          <w:color w:val="231F20"/>
          <w:sz w:val="22"/>
          <w:szCs w:val="22"/>
        </w:rPr>
        <w:t>10 mL</w:t>
      </w:r>
      <w:r w:rsidRPr="001C046B">
        <w:rPr>
          <w:rFonts w:eastAsia="Times New Roman"/>
          <w:color w:val="231F20"/>
          <w:spacing w:val="-9"/>
          <w:sz w:val="22"/>
          <w:szCs w:val="22"/>
        </w:rPr>
        <w:t xml:space="preserve"> </w:t>
      </w:r>
      <w:r w:rsidRPr="001C046B">
        <w:rPr>
          <w:rFonts w:eastAsia="Times New Roman"/>
          <w:color w:val="231F20"/>
          <w:sz w:val="22"/>
          <w:szCs w:val="22"/>
        </w:rPr>
        <w:t>glass pipette and plastic pipettor</w:t>
      </w:r>
    </w:p>
    <w:p w14:paraId="5C897304" w14:textId="77777777" w:rsidR="00DD2451" w:rsidRPr="001C046B" w:rsidRDefault="00DD2451" w:rsidP="00DD2451">
      <w:pPr>
        <w:pStyle w:val="ListParagraph"/>
        <w:numPr>
          <w:ilvl w:val="0"/>
          <w:numId w:val="4"/>
        </w:numPr>
        <w:spacing w:after="200" w:line="276" w:lineRule="auto"/>
        <w:rPr>
          <w:rFonts w:eastAsia="Times New Roman"/>
          <w:color w:val="231F20"/>
          <w:position w:val="-1"/>
          <w:sz w:val="22"/>
          <w:szCs w:val="22"/>
        </w:rPr>
      </w:pPr>
      <w:r w:rsidRPr="001C046B">
        <w:rPr>
          <w:rFonts w:eastAsia="Times New Roman"/>
          <w:color w:val="231F20"/>
          <w:position w:val="-1"/>
          <w:sz w:val="22"/>
          <w:szCs w:val="22"/>
        </w:rPr>
        <w:t>Deionized water</w:t>
      </w:r>
    </w:p>
    <w:p w14:paraId="200E52B9" w14:textId="77777777" w:rsidR="00DD2451" w:rsidRPr="001C046B" w:rsidRDefault="00DD2451" w:rsidP="00DD2451">
      <w:pPr>
        <w:widowControl/>
        <w:autoSpaceDE/>
        <w:autoSpaceDN/>
        <w:adjustRightInd/>
        <w:spacing w:after="200" w:line="276" w:lineRule="auto"/>
        <w:contextualSpacing/>
        <w:rPr>
          <w:rFonts w:eastAsia="Times New Roman"/>
          <w:b/>
          <w:sz w:val="24"/>
          <w:szCs w:val="24"/>
        </w:rPr>
      </w:pPr>
    </w:p>
    <w:p w14:paraId="608836C2" w14:textId="77777777" w:rsidR="00DD2451" w:rsidRPr="00AD2328" w:rsidRDefault="00DD2451" w:rsidP="00DD2451">
      <w:pPr>
        <w:pStyle w:val="BodyText"/>
        <w:kinsoku w:val="0"/>
        <w:overflowPunct w:val="0"/>
        <w:spacing w:before="62"/>
        <w:ind w:right="717"/>
        <w:jc w:val="center"/>
        <w:rPr>
          <w:b/>
          <w:color w:val="231F20"/>
        </w:rPr>
      </w:pPr>
    </w:p>
    <w:p w14:paraId="64A9891D" w14:textId="77777777" w:rsidR="00C47263" w:rsidRDefault="00C47263">
      <w:bookmarkStart w:id="0" w:name="_GoBack"/>
      <w:bookmarkEnd w:id="0"/>
    </w:p>
    <w:sectPr w:rsidR="00C47263" w:rsidSect="005064E8">
      <w:pgSz w:w="12240" w:h="15840"/>
      <w:pgMar w:top="1440" w:right="108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4613B"/>
    <w:multiLevelType w:val="hybridMultilevel"/>
    <w:tmpl w:val="C25C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55C4B"/>
    <w:multiLevelType w:val="hybridMultilevel"/>
    <w:tmpl w:val="89DEAA78"/>
    <w:lvl w:ilvl="0" w:tplc="537C10B0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7D6"/>
    <w:multiLevelType w:val="hybridMultilevel"/>
    <w:tmpl w:val="66867EC0"/>
    <w:lvl w:ilvl="0" w:tplc="2738F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D2E22"/>
    <w:multiLevelType w:val="hybridMultilevel"/>
    <w:tmpl w:val="AF4A4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51"/>
    <w:rsid w:val="00C47263"/>
    <w:rsid w:val="00D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8EF2"/>
  <w15:chartTrackingRefBased/>
  <w15:docId w15:val="{A31161E1-D48C-4728-9365-748D81B4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D2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245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2451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451"/>
    <w:pPr>
      <w:ind w:left="1920" w:hanging="36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wHXtO9kl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u3C6QXD8gj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uEy_NGDfo_8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_BacifzIP6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KNMz0pSgY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F49183A781D428C4DAB95B7D8F98A" ma:contentTypeVersion="13" ma:contentTypeDescription="Create a new document." ma:contentTypeScope="" ma:versionID="c83148f07a52955405abe9b3d521830c">
  <xsd:schema xmlns:xsd="http://www.w3.org/2001/XMLSchema" xmlns:xs="http://www.w3.org/2001/XMLSchema" xmlns:p="http://schemas.microsoft.com/office/2006/metadata/properties" xmlns:ns3="9de656b0-82be-4072-b152-8c5b298e2b7a" xmlns:ns4="6f3a65b1-3c15-484f-9d66-832e1f10e40a" targetNamespace="http://schemas.microsoft.com/office/2006/metadata/properties" ma:root="true" ma:fieldsID="1c5fef8b3005ed3e142dd8b1a651b91c" ns3:_="" ns4:_="">
    <xsd:import namespace="9de656b0-82be-4072-b152-8c5b298e2b7a"/>
    <xsd:import namespace="6f3a65b1-3c15-484f-9d66-832e1f10e4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56b0-82be-4072-b152-8c5b298e2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65b1-3c15-484f-9d66-832e1f10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6F523-7719-4A63-8377-1DAA85DAA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56b0-82be-4072-b152-8c5b298e2b7a"/>
    <ds:schemaRef ds:uri="6f3a65b1-3c15-484f-9d66-832e1f10e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354EE-4813-418D-BA12-4EB6973A1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A3D84-0EC2-45ED-B628-9014599343D5}">
  <ds:schemaRefs>
    <ds:schemaRef ds:uri="http://schemas.microsoft.com/office/2006/metadata/properties"/>
    <ds:schemaRef ds:uri="9de656b0-82be-4072-b152-8c5b298e2b7a"/>
    <ds:schemaRef ds:uri="6f3a65b1-3c15-484f-9d66-832e1f10e4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Rahman, Ishrat</dc:creator>
  <cp:keywords/>
  <dc:description/>
  <cp:lastModifiedBy>Rahman, Ishrat</cp:lastModifiedBy>
  <cp:revision>1</cp:revision>
  <dcterms:created xsi:type="dcterms:W3CDTF">2020-11-21T15:49:00Z</dcterms:created>
  <dcterms:modified xsi:type="dcterms:W3CDTF">2020-11-21T15:49:00Z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0x010100073F49183A781D428C4DAB95B7D8F98A</vt:lpwstr>
  </property>
</Properties>
</file>