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E149" w14:textId="5914BE6F" w:rsidR="003D303B" w:rsidRPr="00A11A71" w:rsidRDefault="003D303B" w:rsidP="00A11A71">
      <w:pPr>
        <w:pStyle w:val="Heading1"/>
        <w:rPr>
          <w:b/>
          <w:bCs/>
          <w:color w:val="auto"/>
        </w:rPr>
      </w:pPr>
      <w:r w:rsidRPr="00A11A71">
        <w:rPr>
          <w:b/>
          <w:bCs/>
          <w:color w:val="auto"/>
        </w:rPr>
        <w:t>T</w:t>
      </w:r>
      <w:r w:rsidR="00E82D21" w:rsidRPr="00A11A71">
        <w:rPr>
          <w:b/>
          <w:bCs/>
          <w:color w:val="auto"/>
        </w:rPr>
        <w:t>ips and T</w:t>
      </w:r>
      <w:r w:rsidRPr="00A11A71">
        <w:rPr>
          <w:b/>
          <w:bCs/>
          <w:color w:val="auto"/>
        </w:rPr>
        <w:t xml:space="preserve">echniques for Successful Class </w:t>
      </w:r>
      <w:r w:rsidR="00341D56" w:rsidRPr="00A11A71">
        <w:rPr>
          <w:b/>
          <w:bCs/>
          <w:color w:val="auto"/>
        </w:rPr>
        <w:t>Conversation</w:t>
      </w:r>
      <w:r w:rsidRPr="00A11A71">
        <w:rPr>
          <w:b/>
          <w:bCs/>
          <w:color w:val="auto"/>
        </w:rPr>
        <w:t>s</w:t>
      </w:r>
    </w:p>
    <w:p w14:paraId="0BDA9AE5" w14:textId="396BB888" w:rsidR="008B10F4" w:rsidRDefault="00F86125">
      <w:r>
        <w:t>To use an analogy:  c</w:t>
      </w:r>
      <w:r w:rsidR="001F0DAC">
        <w:t>ar accident</w:t>
      </w:r>
      <w:r w:rsidR="00B52616">
        <w:t xml:space="preserve">s </w:t>
      </w:r>
      <w:proofErr w:type="gramStart"/>
      <w:r w:rsidR="00B52616">
        <w:t>don’t</w:t>
      </w:r>
      <w:proofErr w:type="gramEnd"/>
      <w:r w:rsidR="00B52616">
        <w:t xml:space="preserve"> occur</w:t>
      </w:r>
      <w:r w:rsidR="001F0DAC">
        <w:t xml:space="preserve"> every time we drive, yet most of us </w:t>
      </w:r>
      <w:r w:rsidR="005F7EAD">
        <w:t xml:space="preserve">spend a moment </w:t>
      </w:r>
      <w:r w:rsidR="00AD7348">
        <w:t xml:space="preserve">each and every time we drive </w:t>
      </w:r>
      <w:r w:rsidR="005F7EAD">
        <w:t xml:space="preserve">to adjust our seat, look in our mirrors, and put on a seatbelt. </w:t>
      </w:r>
      <w:r w:rsidR="00855C71">
        <w:t xml:space="preserve"> </w:t>
      </w:r>
      <w:r w:rsidR="00BB5D83">
        <w:t>Likewise</w:t>
      </w:r>
      <w:r w:rsidR="002D63D2">
        <w:t>, we can</w:t>
      </w:r>
      <w:r w:rsidR="00901FF2">
        <w:t xml:space="preserve"> help</w:t>
      </w:r>
      <w:r w:rsidR="002D63D2">
        <w:t xml:space="preserve"> prepare for a </w:t>
      </w:r>
      <w:r w:rsidR="00901FF2">
        <w:t>positive class</w:t>
      </w:r>
      <w:r w:rsidR="002D63D2">
        <w:t xml:space="preserve"> conversation</w:t>
      </w:r>
      <w:r w:rsidR="00BB5D83">
        <w:t>/discussion</w:t>
      </w:r>
      <w:r w:rsidR="002D63D2">
        <w:t xml:space="preserve"> by </w:t>
      </w:r>
      <w:r w:rsidR="00901FF2">
        <w:t>planning</w:t>
      </w:r>
      <w:r w:rsidR="00B817B3">
        <w:t xml:space="preserve"> our route ahead of time and </w:t>
      </w:r>
      <w:r w:rsidR="00BB5D83">
        <w:t>having some metaphoric seat belts in place.</w:t>
      </w:r>
      <w:r w:rsidR="005A7357">
        <w:t xml:space="preserve"> </w:t>
      </w:r>
      <w:r w:rsidR="00AD7348">
        <w:t xml:space="preserve"> </w:t>
      </w:r>
      <w:r>
        <w:t>The redlining and community health activity may generate some class discussion and class conversations</w:t>
      </w:r>
      <w:r w:rsidR="003555C1">
        <w:t xml:space="preserve"> that touch on sensitive subjects</w:t>
      </w:r>
      <w:r>
        <w:t xml:space="preserve">.  </w:t>
      </w:r>
      <w:r w:rsidR="00C33D6C">
        <w:t>This table is provided</w:t>
      </w:r>
      <w:r w:rsidR="003555C1">
        <w:t xml:space="preserve"> as a starting point</w:t>
      </w:r>
      <w:r w:rsidR="00C33D6C">
        <w:t xml:space="preserve"> to help instructors prepare for the discussion</w:t>
      </w:r>
      <w:r>
        <w:t xml:space="preserve">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5580"/>
        <w:gridCol w:w="6030"/>
      </w:tblGrid>
      <w:tr w:rsidR="000B0CBC" w:rsidRPr="003D303B" w14:paraId="43440C35" w14:textId="77777777" w:rsidTr="00DB0387">
        <w:tc>
          <w:tcPr>
            <w:tcW w:w="1885" w:type="dxa"/>
          </w:tcPr>
          <w:p w14:paraId="5A7ED4D1" w14:textId="2C471EC7" w:rsidR="003D303B" w:rsidRPr="003D303B" w:rsidRDefault="003D303B" w:rsidP="003D303B">
            <w:pPr>
              <w:jc w:val="center"/>
              <w:rPr>
                <w:b/>
                <w:bCs/>
              </w:rPr>
            </w:pPr>
            <w:r w:rsidRPr="003D303B">
              <w:rPr>
                <w:b/>
                <w:bCs/>
              </w:rPr>
              <w:t>Tip</w:t>
            </w:r>
            <w:r w:rsidR="00E82D21">
              <w:rPr>
                <w:b/>
                <w:bCs/>
              </w:rPr>
              <w:t>/Technique</w:t>
            </w:r>
          </w:p>
        </w:tc>
        <w:tc>
          <w:tcPr>
            <w:tcW w:w="5580" w:type="dxa"/>
          </w:tcPr>
          <w:p w14:paraId="4EB7390E" w14:textId="1B4CF626" w:rsidR="003D303B" w:rsidRPr="003D303B" w:rsidRDefault="003D303B" w:rsidP="003D303B">
            <w:pPr>
              <w:jc w:val="center"/>
              <w:rPr>
                <w:b/>
                <w:bCs/>
              </w:rPr>
            </w:pPr>
            <w:r w:rsidRPr="003D303B">
              <w:rPr>
                <w:b/>
                <w:bCs/>
              </w:rPr>
              <w:t>Comments</w:t>
            </w:r>
          </w:p>
        </w:tc>
        <w:tc>
          <w:tcPr>
            <w:tcW w:w="6030" w:type="dxa"/>
          </w:tcPr>
          <w:p w14:paraId="6614B3D6" w14:textId="133A0051" w:rsidR="003D303B" w:rsidRPr="003D303B" w:rsidRDefault="003D303B" w:rsidP="003D303B">
            <w:pPr>
              <w:jc w:val="center"/>
              <w:rPr>
                <w:b/>
                <w:bCs/>
              </w:rPr>
            </w:pPr>
            <w:r w:rsidRPr="003D303B">
              <w:rPr>
                <w:b/>
                <w:bCs/>
              </w:rPr>
              <w:t>Reference</w:t>
            </w:r>
            <w:r w:rsidR="00DB0387">
              <w:rPr>
                <w:b/>
                <w:bCs/>
              </w:rPr>
              <w:t>s/Links</w:t>
            </w:r>
          </w:p>
        </w:tc>
      </w:tr>
      <w:tr w:rsidR="000B0CBC" w14:paraId="5167058A" w14:textId="77777777" w:rsidTr="00DB0387">
        <w:tc>
          <w:tcPr>
            <w:tcW w:w="1885" w:type="dxa"/>
          </w:tcPr>
          <w:p w14:paraId="044DC365" w14:textId="77777777" w:rsidR="003D303B" w:rsidRDefault="00FC579E">
            <w:proofErr w:type="gramStart"/>
            <w:r>
              <w:t>Plan ahead</w:t>
            </w:r>
            <w:proofErr w:type="gramEnd"/>
            <w:r>
              <w:t xml:space="preserve">, plan ahead, plan </w:t>
            </w:r>
            <w:r w:rsidR="0000628C">
              <w:t>a</w:t>
            </w:r>
            <w:r>
              <w:t>head</w:t>
            </w:r>
          </w:p>
          <w:p w14:paraId="5DDF11F2" w14:textId="77777777" w:rsidR="004C37E3" w:rsidRDefault="004C37E3"/>
          <w:p w14:paraId="24952393" w14:textId="0A3AF475" w:rsidR="004C37E3" w:rsidRDefault="004C37E3"/>
        </w:tc>
        <w:tc>
          <w:tcPr>
            <w:tcW w:w="5580" w:type="dxa"/>
          </w:tcPr>
          <w:p w14:paraId="01D1EEDD" w14:textId="12860C27" w:rsidR="003D303B" w:rsidRDefault="00341D56">
            <w:r>
              <w:t xml:space="preserve">The secret to almost any successful classroom session </w:t>
            </w:r>
            <w:r w:rsidR="00DB0387">
              <w:t xml:space="preserve">is to plan carefully for </w:t>
            </w:r>
            <w:r w:rsidR="00351781">
              <w:t>the class session.</w:t>
            </w:r>
            <w:r w:rsidR="00BE32A9">
              <w:t xml:space="preserve"> </w:t>
            </w:r>
            <w:r w:rsidR="00A959F0">
              <w:t xml:space="preserve">Specifically, ground rules, on-ramps, and off-ramps may make your </w:t>
            </w:r>
            <w:r w:rsidR="001377B5">
              <w:t xml:space="preserve">class </w:t>
            </w:r>
            <w:r w:rsidR="00A959F0">
              <w:t>conversations feel safer and more enjoyable.</w:t>
            </w:r>
          </w:p>
          <w:p w14:paraId="08827B79" w14:textId="7F5F306E" w:rsidR="00341D56" w:rsidRDefault="00341D56"/>
        </w:tc>
        <w:tc>
          <w:tcPr>
            <w:tcW w:w="6030" w:type="dxa"/>
          </w:tcPr>
          <w:p w14:paraId="19411B38" w14:textId="5DD6A9D9" w:rsidR="003D303B" w:rsidRDefault="001D2E65">
            <w:r>
              <w:t>R</w:t>
            </w:r>
            <w:r w:rsidR="00B14135">
              <w:t>ecommended references:</w:t>
            </w:r>
          </w:p>
          <w:p w14:paraId="7B598070" w14:textId="1B4A2D9E" w:rsidR="00B14135" w:rsidRDefault="004C37E3">
            <w:hyperlink r:id="rId5" w:history="1">
              <w:r w:rsidRPr="008C7EEE">
                <w:rPr>
                  <w:rStyle w:val="Hyperlink"/>
                </w:rPr>
                <w:t>https://web.stanford.edu/group/resed/resed/staffresources/RM/training/facilguide.html</w:t>
              </w:r>
            </w:hyperlink>
          </w:p>
          <w:p w14:paraId="76FCB609" w14:textId="77777777" w:rsidR="005C3B4A" w:rsidRDefault="005C3B4A"/>
          <w:p w14:paraId="71965BBC" w14:textId="77777777" w:rsidR="005C3B4A" w:rsidRDefault="00543CFD">
            <w:hyperlink r:id="rId6" w:history="1">
              <w:r w:rsidR="006A13AC" w:rsidRPr="00F4617D">
                <w:rPr>
                  <w:rStyle w:val="Hyperlink"/>
                </w:rPr>
                <w:t>https://learninginnovation.duke.edu/wp-content/uploads/2018/01/ITF-H1-discussionguide-17h5iob.pdf</w:t>
              </w:r>
            </w:hyperlink>
            <w:r w:rsidR="006A13AC">
              <w:t xml:space="preserve"> </w:t>
            </w:r>
          </w:p>
          <w:p w14:paraId="10C785DC" w14:textId="4C4AEDEC" w:rsidR="006A13AC" w:rsidRDefault="006A13AC"/>
        </w:tc>
      </w:tr>
      <w:tr w:rsidR="004C37E3" w14:paraId="2395AE4F" w14:textId="77777777" w:rsidTr="00DB0387">
        <w:tc>
          <w:tcPr>
            <w:tcW w:w="1885" w:type="dxa"/>
          </w:tcPr>
          <w:p w14:paraId="578C3C9F" w14:textId="12C0DABD" w:rsidR="004C37E3" w:rsidRDefault="004C37E3">
            <w:r>
              <w:t>Meet students where they are at</w:t>
            </w:r>
          </w:p>
        </w:tc>
        <w:tc>
          <w:tcPr>
            <w:tcW w:w="5580" w:type="dxa"/>
          </w:tcPr>
          <w:p w14:paraId="39FE7CAC" w14:textId="34AA6B7B" w:rsidR="004C37E3" w:rsidRDefault="004C37E3">
            <w:r>
              <w:t>Take a moment to consider where your students are in their understanding of the issues you want to discuss</w:t>
            </w:r>
          </w:p>
        </w:tc>
        <w:tc>
          <w:tcPr>
            <w:tcW w:w="6030" w:type="dxa"/>
          </w:tcPr>
          <w:p w14:paraId="1FB67EA4" w14:textId="77777777" w:rsidR="004C37E3" w:rsidRDefault="004C37E3" w:rsidP="004C37E3">
            <w:hyperlink r:id="rId7" w:history="1">
              <w:r w:rsidRPr="008C7EEE">
                <w:rPr>
                  <w:rStyle w:val="Hyperlink"/>
                </w:rPr>
                <w:t>https://www.luminafoundation.org/talking-equity/</w:t>
              </w:r>
            </w:hyperlink>
          </w:p>
          <w:p w14:paraId="7301B550" w14:textId="77777777" w:rsidR="004C37E3" w:rsidRDefault="004C37E3"/>
        </w:tc>
      </w:tr>
      <w:tr w:rsidR="00B14135" w14:paraId="2B4E407B" w14:textId="77777777" w:rsidTr="00DB0387">
        <w:tc>
          <w:tcPr>
            <w:tcW w:w="1885" w:type="dxa"/>
          </w:tcPr>
          <w:p w14:paraId="241BF4A0" w14:textId="119D693C" w:rsidR="000B0CBC" w:rsidRDefault="000B0CBC" w:rsidP="005143BE">
            <w:r>
              <w:t xml:space="preserve">Establish conversation </w:t>
            </w:r>
            <w:r w:rsidR="00B14135">
              <w:t>ground rules</w:t>
            </w:r>
          </w:p>
        </w:tc>
        <w:tc>
          <w:tcPr>
            <w:tcW w:w="5580" w:type="dxa"/>
          </w:tcPr>
          <w:p w14:paraId="5F8470C5" w14:textId="7FD07F9B" w:rsidR="000B0CBC" w:rsidRDefault="000B0CBC" w:rsidP="005143BE">
            <w:r>
              <w:t xml:space="preserve">Consider completing this task early in your course, well-before any discussion; consider </w:t>
            </w:r>
            <w:r w:rsidR="00351781">
              <w:t xml:space="preserve">having </w:t>
            </w:r>
            <w:r>
              <w:t>students help define the policies</w:t>
            </w:r>
            <w:r w:rsidR="00633970">
              <w:t>, perhaps through a small-group activity that also introduces discussion roles (see below)</w:t>
            </w:r>
            <w:r>
              <w:t>.</w:t>
            </w:r>
          </w:p>
          <w:p w14:paraId="76E71CD1" w14:textId="77777777" w:rsidR="000B0CBC" w:rsidRDefault="000B0CBC" w:rsidP="005143BE"/>
          <w:p w14:paraId="1B49634E" w14:textId="77777777" w:rsidR="000B0CBC" w:rsidRDefault="000B0CBC" w:rsidP="005143BE"/>
        </w:tc>
        <w:tc>
          <w:tcPr>
            <w:tcW w:w="6030" w:type="dxa"/>
          </w:tcPr>
          <w:p w14:paraId="6A2327F4" w14:textId="77777777" w:rsidR="004C37E3" w:rsidRDefault="004C37E3" w:rsidP="004C37E3">
            <w:hyperlink r:id="rId8" w:history="1">
              <w:r w:rsidRPr="008C7EEE">
                <w:rPr>
                  <w:rStyle w:val="Hyperlink"/>
                </w:rPr>
                <w:t>https://www.luminafoundation.org/talking-equity/</w:t>
              </w:r>
            </w:hyperlink>
          </w:p>
          <w:p w14:paraId="61C0BB04" w14:textId="77777777" w:rsidR="004C37E3" w:rsidRDefault="004C37E3" w:rsidP="004C37E3"/>
          <w:p w14:paraId="69737808" w14:textId="13713A2E" w:rsidR="000B0CBC" w:rsidRPr="001118DC" w:rsidRDefault="004C37E3" w:rsidP="005143BE">
            <w:pPr>
              <w:rPr>
                <w:sz w:val="20"/>
                <w:szCs w:val="20"/>
              </w:rPr>
            </w:pPr>
            <w:hyperlink r:id="rId9" w:history="1">
              <w:r w:rsidRPr="008C7EEE">
                <w:rPr>
                  <w:rStyle w:val="Hyperlink"/>
                  <w:sz w:val="20"/>
                  <w:szCs w:val="20"/>
                </w:rPr>
                <w:t>https://learninginnovation.duke.edu/blog/2018/01/guidelines-interaction-better-class-discussions/</w:t>
              </w:r>
            </w:hyperlink>
            <w:r w:rsidR="000B0CBC" w:rsidRPr="001118DC">
              <w:rPr>
                <w:sz w:val="20"/>
                <w:szCs w:val="20"/>
              </w:rPr>
              <w:t xml:space="preserve"> </w:t>
            </w:r>
          </w:p>
          <w:p w14:paraId="0DD0BCCD" w14:textId="77777777" w:rsidR="000B0CBC" w:rsidRPr="001118DC" w:rsidRDefault="000B0CBC" w:rsidP="005143BE">
            <w:pPr>
              <w:rPr>
                <w:sz w:val="20"/>
                <w:szCs w:val="20"/>
              </w:rPr>
            </w:pPr>
          </w:p>
          <w:p w14:paraId="1BE7BB8C" w14:textId="77777777" w:rsidR="000B0CBC" w:rsidRDefault="00543CFD" w:rsidP="005143BE">
            <w:pPr>
              <w:rPr>
                <w:sz w:val="20"/>
                <w:szCs w:val="20"/>
              </w:rPr>
            </w:pPr>
            <w:hyperlink r:id="rId10" w:history="1">
              <w:r w:rsidR="000B0CBC" w:rsidRPr="001118DC">
                <w:rPr>
                  <w:rStyle w:val="Hyperlink"/>
                  <w:sz w:val="20"/>
                  <w:szCs w:val="20"/>
                </w:rPr>
                <w:t>https://www.learningforjustice.org/magazine/publications/critical-practices-for-antibias-education/classroom-culture</w:t>
              </w:r>
            </w:hyperlink>
            <w:r w:rsidR="000B0CBC" w:rsidRPr="001118DC">
              <w:rPr>
                <w:sz w:val="20"/>
                <w:szCs w:val="20"/>
              </w:rPr>
              <w:t xml:space="preserve"> </w:t>
            </w:r>
          </w:p>
          <w:p w14:paraId="2412B0BE" w14:textId="77777777" w:rsidR="000B0CBC" w:rsidRDefault="000B0CBC" w:rsidP="005143BE">
            <w:pPr>
              <w:rPr>
                <w:sz w:val="20"/>
                <w:szCs w:val="20"/>
              </w:rPr>
            </w:pPr>
          </w:p>
          <w:p w14:paraId="7C133C6A" w14:textId="77777777" w:rsidR="000B0CBC" w:rsidRDefault="00543CFD" w:rsidP="005143BE">
            <w:pPr>
              <w:rPr>
                <w:sz w:val="20"/>
                <w:szCs w:val="20"/>
              </w:rPr>
            </w:pPr>
            <w:hyperlink r:id="rId11" w:history="1">
              <w:r w:rsidR="000B0CBC" w:rsidRPr="00F4617D">
                <w:rPr>
                  <w:rStyle w:val="Hyperlink"/>
                  <w:sz w:val="20"/>
                  <w:szCs w:val="20"/>
                </w:rPr>
                <w:t>https://web.stanford.edu/group/resed/resed/staffresources/RM/training/facilguide.html</w:t>
              </w:r>
            </w:hyperlink>
          </w:p>
          <w:p w14:paraId="0901B515" w14:textId="77777777" w:rsidR="000B0CBC" w:rsidRDefault="000B0CBC" w:rsidP="005143BE">
            <w:pPr>
              <w:rPr>
                <w:sz w:val="20"/>
                <w:szCs w:val="20"/>
              </w:rPr>
            </w:pPr>
          </w:p>
          <w:p w14:paraId="29FEF914" w14:textId="77777777" w:rsidR="000B0CBC" w:rsidRDefault="00543CFD" w:rsidP="005143BE">
            <w:pPr>
              <w:rPr>
                <w:sz w:val="20"/>
                <w:szCs w:val="20"/>
              </w:rPr>
            </w:pPr>
            <w:hyperlink r:id="rId12" w:history="1">
              <w:r w:rsidR="000B0CBC" w:rsidRPr="00F4617D">
                <w:rPr>
                  <w:rStyle w:val="Hyperlink"/>
                  <w:sz w:val="20"/>
                  <w:szCs w:val="20"/>
                </w:rPr>
                <w:t>https://learninginnovation.duke.edu/wp-content/uploads/2018/01/ITF-H1-discussionguide-17h5iob.pdf</w:t>
              </w:r>
            </w:hyperlink>
            <w:r w:rsidR="000B0CBC">
              <w:rPr>
                <w:sz w:val="20"/>
                <w:szCs w:val="20"/>
              </w:rPr>
              <w:t xml:space="preserve">  </w:t>
            </w:r>
          </w:p>
          <w:p w14:paraId="218CA2CC" w14:textId="304A35CE" w:rsidR="006A13AC" w:rsidRPr="001118DC" w:rsidRDefault="006A13AC" w:rsidP="005143BE">
            <w:pPr>
              <w:rPr>
                <w:sz w:val="20"/>
                <w:szCs w:val="20"/>
              </w:rPr>
            </w:pPr>
          </w:p>
        </w:tc>
      </w:tr>
      <w:tr w:rsidR="00D65206" w14:paraId="10DEF3D2" w14:textId="77777777" w:rsidTr="00DB0387">
        <w:tc>
          <w:tcPr>
            <w:tcW w:w="1885" w:type="dxa"/>
          </w:tcPr>
          <w:p w14:paraId="5EC22184" w14:textId="2BE4087B" w:rsidR="00D65206" w:rsidRDefault="00D65206">
            <w:r>
              <w:t>Prepare the on-ramp.</w:t>
            </w:r>
          </w:p>
          <w:p w14:paraId="0C9A252C" w14:textId="4BE657C6" w:rsidR="00D65206" w:rsidRDefault="00D65206"/>
        </w:tc>
        <w:tc>
          <w:tcPr>
            <w:tcW w:w="5580" w:type="dxa"/>
          </w:tcPr>
          <w:p w14:paraId="1090BAE4" w14:textId="060A7541" w:rsidR="00D65206" w:rsidRDefault="00D935DA">
            <w:r>
              <w:t xml:space="preserve">Setting the tone and </w:t>
            </w:r>
            <w:r w:rsidR="000B0CBC">
              <w:t>explaining the purpose of any structured conversation is important</w:t>
            </w:r>
          </w:p>
        </w:tc>
        <w:tc>
          <w:tcPr>
            <w:tcW w:w="6030" w:type="dxa"/>
          </w:tcPr>
          <w:p w14:paraId="1B5E6F42" w14:textId="40771DC4" w:rsidR="00D65206" w:rsidRPr="001118DC" w:rsidRDefault="004C37E3">
            <w:pPr>
              <w:rPr>
                <w:sz w:val="20"/>
                <w:szCs w:val="20"/>
              </w:rPr>
            </w:pPr>
            <w:hyperlink r:id="rId13" w:history="1">
              <w:r w:rsidRPr="008C7EEE">
                <w:rPr>
                  <w:rStyle w:val="Hyperlink"/>
                  <w:sz w:val="20"/>
                  <w:szCs w:val="20"/>
                </w:rPr>
                <w:t>https://web.stanford.edu/group/resed/resed/staffresources/RM/training/facilguide.html#start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0628C" w14:paraId="7FF494F3" w14:textId="77777777" w:rsidTr="00DB0387">
        <w:tc>
          <w:tcPr>
            <w:tcW w:w="1885" w:type="dxa"/>
          </w:tcPr>
          <w:p w14:paraId="4BD86E64" w14:textId="5B722350" w:rsidR="0000628C" w:rsidRDefault="003A52DA">
            <w:r>
              <w:t xml:space="preserve">Prepare </w:t>
            </w:r>
            <w:r w:rsidR="00D65206">
              <w:t xml:space="preserve">the </w:t>
            </w:r>
            <w:r>
              <w:t>off-ramp</w:t>
            </w:r>
            <w:r w:rsidR="001227A5">
              <w:t>.</w:t>
            </w:r>
          </w:p>
        </w:tc>
        <w:tc>
          <w:tcPr>
            <w:tcW w:w="5580" w:type="dxa"/>
          </w:tcPr>
          <w:p w14:paraId="12CFB9BE" w14:textId="44C189A1" w:rsidR="0000628C" w:rsidRDefault="003A52DA">
            <w:r>
              <w:t xml:space="preserve">As instructor, what will you do if the conversation becomes heated, </w:t>
            </w:r>
            <w:r w:rsidR="005B14F0">
              <w:t xml:space="preserve">divisive, and/or seems to stray off-track?  </w:t>
            </w:r>
          </w:p>
          <w:p w14:paraId="4FC9CFF6" w14:textId="0C3BEE7B" w:rsidR="001227A5" w:rsidRDefault="001227A5"/>
          <w:p w14:paraId="72389D8D" w14:textId="58734716" w:rsidR="001227A5" w:rsidRDefault="001227A5">
            <w:r>
              <w:t>How will you end the discussion/conversation?</w:t>
            </w:r>
          </w:p>
          <w:p w14:paraId="3E9A8E0B" w14:textId="77777777" w:rsidR="005B14F0" w:rsidRDefault="005B14F0"/>
          <w:p w14:paraId="1E1262A5" w14:textId="3C455830" w:rsidR="005B14F0" w:rsidRDefault="00935C50">
            <w:r>
              <w:t>Some suggestions might be:</w:t>
            </w:r>
          </w:p>
          <w:p w14:paraId="79E1CE24" w14:textId="53BB6B6D" w:rsidR="00935C50" w:rsidRDefault="00935C50" w:rsidP="00935C5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summarize </w:t>
            </w:r>
            <w:r w:rsidR="00FC2591">
              <w:t xml:space="preserve">major points of agreement and </w:t>
            </w:r>
            <w:r w:rsidR="001377B5">
              <w:t>disagreement.</w:t>
            </w:r>
          </w:p>
          <w:p w14:paraId="3D9B4F8D" w14:textId="2E0D7F71" w:rsidR="00935C50" w:rsidRDefault="00935C50" w:rsidP="00935C50">
            <w:pPr>
              <w:pStyle w:val="ListParagraph"/>
              <w:numPr>
                <w:ilvl w:val="0"/>
                <w:numId w:val="1"/>
              </w:numPr>
            </w:pPr>
            <w:r>
              <w:t xml:space="preserve">summarize what questions </w:t>
            </w:r>
            <w:r w:rsidR="002843C1">
              <w:t>remain</w:t>
            </w:r>
            <w:r w:rsidR="001377B5">
              <w:t>.</w:t>
            </w:r>
          </w:p>
          <w:p w14:paraId="592F4EEB" w14:textId="0123F4E2" w:rsidR="00FC2591" w:rsidRDefault="00422EBB" w:rsidP="00935C50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="00232EF6">
              <w:t xml:space="preserve">mphasize confidentiality if sensitive topics were </w:t>
            </w:r>
            <w:r w:rsidR="001377B5">
              <w:t>shared.</w:t>
            </w:r>
          </w:p>
          <w:p w14:paraId="260737D4" w14:textId="44CFEB46" w:rsidR="00232EF6" w:rsidRDefault="00837F00" w:rsidP="00232EF6">
            <w:pPr>
              <w:pStyle w:val="ListParagraph"/>
              <w:numPr>
                <w:ilvl w:val="0"/>
                <w:numId w:val="1"/>
              </w:numPr>
            </w:pPr>
            <w:r>
              <w:t>remind students of your office hours and/or how to contact you</w:t>
            </w:r>
            <w:r w:rsidR="00232EF6">
              <w:t xml:space="preserve"> after </w:t>
            </w:r>
            <w:r w:rsidR="001377B5">
              <w:t>class</w:t>
            </w:r>
            <w:r w:rsidR="00FE2D33">
              <w:t xml:space="preserve"> if students have questions or concerns after the conversation</w:t>
            </w:r>
            <w:r w:rsidR="001377B5">
              <w:t>.</w:t>
            </w:r>
          </w:p>
          <w:p w14:paraId="66B18835" w14:textId="1235FD5B" w:rsidR="00232EF6" w:rsidRDefault="00232EF6" w:rsidP="00232EF6">
            <w:pPr>
              <w:pStyle w:val="ListParagraph"/>
              <w:numPr>
                <w:ilvl w:val="0"/>
                <w:numId w:val="1"/>
              </w:numPr>
            </w:pPr>
            <w:r>
              <w:t xml:space="preserve">thank everyone for their </w:t>
            </w:r>
            <w:r w:rsidR="001377B5">
              <w:t>contributions.</w:t>
            </w:r>
          </w:p>
          <w:p w14:paraId="490FD4DC" w14:textId="75234F99" w:rsidR="00232EF6" w:rsidRDefault="00232EF6" w:rsidP="00232EF6">
            <w:pPr>
              <w:pStyle w:val="ListParagraph"/>
            </w:pPr>
          </w:p>
        </w:tc>
        <w:tc>
          <w:tcPr>
            <w:tcW w:w="6030" w:type="dxa"/>
          </w:tcPr>
          <w:p w14:paraId="7F65D04A" w14:textId="3E9CC556" w:rsidR="0000628C" w:rsidRPr="001118DC" w:rsidRDefault="004C37E3">
            <w:pPr>
              <w:rPr>
                <w:sz w:val="20"/>
                <w:szCs w:val="20"/>
              </w:rPr>
            </w:pPr>
            <w:hyperlink r:id="rId14" w:history="1">
              <w:r w:rsidRPr="008C7EEE">
                <w:rPr>
                  <w:rStyle w:val="Hyperlink"/>
                  <w:sz w:val="20"/>
                  <w:szCs w:val="20"/>
                </w:rPr>
                <w:t>https://web.stanford.edu/group/resed/resed/staffresources/RM/training/facilguide.html#wrapup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B0387" w14:paraId="0DE48B88" w14:textId="77777777" w:rsidTr="00DB0387">
        <w:tc>
          <w:tcPr>
            <w:tcW w:w="1885" w:type="dxa"/>
          </w:tcPr>
          <w:p w14:paraId="257D92AD" w14:textId="0D1DCD91" w:rsidR="001118DC" w:rsidRDefault="001118DC">
            <w:r>
              <w:t>Prepare for possible conflict and/or upset feelings</w:t>
            </w:r>
          </w:p>
        </w:tc>
        <w:tc>
          <w:tcPr>
            <w:tcW w:w="5580" w:type="dxa"/>
          </w:tcPr>
          <w:p w14:paraId="5D70B0D7" w14:textId="098AB6B9" w:rsidR="001118DC" w:rsidRDefault="001118DC">
            <w:r>
              <w:t xml:space="preserve">Allow for “ouch moments”; consider </w:t>
            </w:r>
            <w:r w:rsidR="002843C1">
              <w:t xml:space="preserve">having </w:t>
            </w:r>
            <w:r>
              <w:t>a</w:t>
            </w:r>
            <w:r w:rsidR="002843C1">
              <w:t xml:space="preserve"> class</w:t>
            </w:r>
            <w:r>
              <w:t xml:space="preserve"> policy that allows students to publicly or privately express discomfort by saying “ouch”; </w:t>
            </w:r>
            <w:r w:rsidR="00FE2D33">
              <w:t>e</w:t>
            </w:r>
            <w:r w:rsidR="00843F94">
              <w:t xml:space="preserve">xplain ahead of time how the “ouch moments” will be addressed; in </w:t>
            </w:r>
            <w:r w:rsidR="004C37E3">
              <w:t>some</w:t>
            </w:r>
            <w:r w:rsidR="00843F94">
              <w:t xml:space="preserve"> cases, it is enough to simply acknowledge that someone was disturbed by something said</w:t>
            </w:r>
            <w:r w:rsidR="004C37E3">
              <w:t>, and in other cases, the instructor may need to step in to address the issue</w:t>
            </w:r>
            <w:r w:rsidR="00843F94">
              <w:t>.</w:t>
            </w:r>
            <w:r w:rsidR="00FE2D33">
              <w:t xml:space="preserve">  </w:t>
            </w:r>
            <w:r w:rsidR="00D31D76">
              <w:t>R</w:t>
            </w:r>
            <w:r w:rsidR="00FE2D33">
              <w:t>each out to students who may have seemed upset by a discussion or conversation topic.</w:t>
            </w:r>
          </w:p>
        </w:tc>
        <w:tc>
          <w:tcPr>
            <w:tcW w:w="6030" w:type="dxa"/>
          </w:tcPr>
          <w:p w14:paraId="5A1A04E0" w14:textId="0DEE4C95" w:rsidR="001118DC" w:rsidRPr="001118DC" w:rsidRDefault="00543CFD">
            <w:pPr>
              <w:rPr>
                <w:sz w:val="20"/>
                <w:szCs w:val="20"/>
              </w:rPr>
            </w:pPr>
            <w:hyperlink r:id="rId15" w:history="1">
              <w:r w:rsidR="001118DC" w:rsidRPr="001118DC">
                <w:rPr>
                  <w:rStyle w:val="Hyperlink"/>
                  <w:sz w:val="20"/>
                  <w:szCs w:val="20"/>
                </w:rPr>
                <w:t>https://www.learningforjustice.org/magazine/publications/critical-practices-for-antibias-education/classroom-culture</w:t>
              </w:r>
            </w:hyperlink>
          </w:p>
          <w:p w14:paraId="56A63E4A" w14:textId="77777777" w:rsidR="001118DC" w:rsidRPr="001118DC" w:rsidRDefault="001118DC">
            <w:pPr>
              <w:rPr>
                <w:sz w:val="20"/>
                <w:szCs w:val="20"/>
              </w:rPr>
            </w:pPr>
          </w:p>
          <w:p w14:paraId="525B0AC4" w14:textId="77777777" w:rsidR="004C37E3" w:rsidRDefault="004C37E3" w:rsidP="004C37E3">
            <w:hyperlink r:id="rId16" w:history="1">
              <w:r w:rsidRPr="008C7EEE">
                <w:rPr>
                  <w:rStyle w:val="Hyperlink"/>
                </w:rPr>
                <w:t>https://www.luminafoundation.org/talking-equity/</w:t>
              </w:r>
            </w:hyperlink>
          </w:p>
          <w:p w14:paraId="09B8E59C" w14:textId="77777777" w:rsidR="004C37E3" w:rsidRDefault="004C37E3" w:rsidP="004C37E3"/>
          <w:p w14:paraId="473D1893" w14:textId="169C97B9" w:rsidR="001118DC" w:rsidRPr="001118DC" w:rsidRDefault="001118DC">
            <w:pPr>
              <w:rPr>
                <w:sz w:val="20"/>
                <w:szCs w:val="20"/>
              </w:rPr>
            </w:pPr>
          </w:p>
        </w:tc>
      </w:tr>
      <w:tr w:rsidR="000B0CBC" w14:paraId="7D5EEADB" w14:textId="77777777" w:rsidTr="00DB0387">
        <w:tc>
          <w:tcPr>
            <w:tcW w:w="1885" w:type="dxa"/>
          </w:tcPr>
          <w:p w14:paraId="784C56F2" w14:textId="6145AA57" w:rsidR="00D9633A" w:rsidRDefault="00341D56">
            <w:r>
              <w:t xml:space="preserve">Modify your physical classroom if </w:t>
            </w:r>
            <w:r w:rsidR="00D9633A">
              <w:t>possible.</w:t>
            </w:r>
          </w:p>
        </w:tc>
        <w:tc>
          <w:tcPr>
            <w:tcW w:w="5580" w:type="dxa"/>
          </w:tcPr>
          <w:p w14:paraId="23B07D9F" w14:textId="7D42F910" w:rsidR="003D303B" w:rsidRDefault="00341D56">
            <w:r>
              <w:t>Rearrange seats to allow students to look at each other</w:t>
            </w:r>
            <w:r w:rsidR="00386B2F">
              <w:t>.</w:t>
            </w:r>
          </w:p>
        </w:tc>
        <w:tc>
          <w:tcPr>
            <w:tcW w:w="6030" w:type="dxa"/>
          </w:tcPr>
          <w:p w14:paraId="44D01268" w14:textId="26616DA7" w:rsidR="003D303B" w:rsidRDefault="00341D56">
            <w:proofErr w:type="spellStart"/>
            <w:r>
              <w:t>Ezzedeen</w:t>
            </w:r>
            <w:proofErr w:type="spellEnd"/>
            <w:r>
              <w:t>, 2008</w:t>
            </w:r>
          </w:p>
        </w:tc>
      </w:tr>
      <w:tr w:rsidR="000B0CBC" w14:paraId="712DC0B4" w14:textId="77777777" w:rsidTr="00DB0387">
        <w:tc>
          <w:tcPr>
            <w:tcW w:w="1885" w:type="dxa"/>
          </w:tcPr>
          <w:p w14:paraId="3D64D3E9" w14:textId="3D04BDA8" w:rsidR="003D303B" w:rsidRDefault="00341D56">
            <w:r>
              <w:t>Break large classes into small groups</w:t>
            </w:r>
          </w:p>
        </w:tc>
        <w:tc>
          <w:tcPr>
            <w:tcW w:w="5580" w:type="dxa"/>
          </w:tcPr>
          <w:p w14:paraId="60227154" w14:textId="76D73279" w:rsidR="003D303B" w:rsidRDefault="002014BA">
            <w:r>
              <w:t>Students are likely to say more in small groups</w:t>
            </w:r>
            <w:r w:rsidR="004B16A4">
              <w:t xml:space="preserve"> than large groups</w:t>
            </w:r>
            <w:r>
              <w:t xml:space="preserve">.  Instructor can rotate around groups (or virtual breakout rooms) to assist as needed.  If a group is involved in a positive conversation when the instructor visits, the instructor can move quickly </w:t>
            </w:r>
            <w:r w:rsidR="00E036CD">
              <w:t>(with the least disruption) to another group</w:t>
            </w:r>
            <w:r w:rsidR="009B6A68">
              <w:t>.</w:t>
            </w:r>
          </w:p>
        </w:tc>
        <w:tc>
          <w:tcPr>
            <w:tcW w:w="6030" w:type="dxa"/>
          </w:tcPr>
          <w:p w14:paraId="2DFB373D" w14:textId="77777777" w:rsidR="003D303B" w:rsidRDefault="00850FB8">
            <w:proofErr w:type="spellStart"/>
            <w:r>
              <w:t>Ezzedeen</w:t>
            </w:r>
            <w:proofErr w:type="spellEnd"/>
            <w:r>
              <w:t>, 2008</w:t>
            </w:r>
          </w:p>
          <w:p w14:paraId="4C3BF8DA" w14:textId="77777777" w:rsidR="00D87BED" w:rsidRDefault="00D87BED"/>
          <w:p w14:paraId="71F7B207" w14:textId="77777777" w:rsidR="00D87BED" w:rsidRDefault="00543CFD">
            <w:hyperlink r:id="rId17" w:history="1">
              <w:r w:rsidR="00D87BED">
                <w:rPr>
                  <w:rStyle w:val="Hyperlink"/>
                </w:rPr>
                <w:t>https://pogil.org/about-pogil/pogil-faqs</w:t>
              </w:r>
            </w:hyperlink>
          </w:p>
          <w:p w14:paraId="24627BA2" w14:textId="0B37AD15" w:rsidR="00E11D2A" w:rsidRDefault="00E11D2A"/>
        </w:tc>
      </w:tr>
      <w:tr w:rsidR="000B0CBC" w14:paraId="0ACFBE31" w14:textId="77777777" w:rsidTr="00DB0387">
        <w:tc>
          <w:tcPr>
            <w:tcW w:w="1885" w:type="dxa"/>
          </w:tcPr>
          <w:p w14:paraId="0346A4D8" w14:textId="19025E6F" w:rsidR="003D303B" w:rsidRDefault="001118DC">
            <w:r>
              <w:t xml:space="preserve">Develop and use student roles </w:t>
            </w:r>
          </w:p>
        </w:tc>
        <w:tc>
          <w:tcPr>
            <w:tcW w:w="5580" w:type="dxa"/>
          </w:tcPr>
          <w:p w14:paraId="482E91DD" w14:textId="0EC164E8" w:rsidR="003D303B" w:rsidRDefault="001118DC">
            <w:r>
              <w:t>“Soft-skills” are likely just as important for students to learn as content</w:t>
            </w:r>
            <w:r w:rsidR="002B3B93">
              <w:t>.  M</w:t>
            </w:r>
            <w:r w:rsidR="00516F93">
              <w:t>a</w:t>
            </w:r>
            <w:r>
              <w:t xml:space="preserve">ny small group teaching </w:t>
            </w:r>
            <w:r w:rsidR="002B3B93">
              <w:t>approaches</w:t>
            </w:r>
            <w:r>
              <w:t xml:space="preserve"> </w:t>
            </w:r>
            <w:r w:rsidR="0054622F">
              <w:t>(such as those from POGI</w:t>
            </w:r>
            <w:r w:rsidR="00577D7F">
              <w:t>L, see link to the right</w:t>
            </w:r>
            <w:r w:rsidR="002F1F19">
              <w:t xml:space="preserve">) </w:t>
            </w:r>
            <w:r w:rsidR="002B3B93">
              <w:t>recommend</w:t>
            </w:r>
            <w:r>
              <w:t xml:space="preserve"> assigning and rotating discussion</w:t>
            </w:r>
            <w:r w:rsidR="00516F93">
              <w:t>/conversation</w:t>
            </w:r>
            <w:r>
              <w:t xml:space="preserve"> roles such as:  facilitator, recorder, presenter, </w:t>
            </w:r>
            <w:r w:rsidR="00824A1C">
              <w:t>reflectors</w:t>
            </w:r>
            <w:r>
              <w:t xml:space="preserve">.  Facilitators </w:t>
            </w:r>
            <w:r w:rsidR="002D0149">
              <w:t xml:space="preserve">can </w:t>
            </w:r>
            <w:r w:rsidR="002F1F19">
              <w:t>ask quieter members of their group if they have anything to add</w:t>
            </w:r>
            <w:r w:rsidR="00CE2E73">
              <w:t xml:space="preserve"> (without any pressure), and </w:t>
            </w:r>
            <w:r w:rsidR="00824A1C">
              <w:t>reflectors can consider how well the team is working and how it could work better</w:t>
            </w:r>
            <w:r w:rsidR="00577D7F">
              <w:t xml:space="preserve"> in the future.</w:t>
            </w:r>
          </w:p>
        </w:tc>
        <w:tc>
          <w:tcPr>
            <w:tcW w:w="6030" w:type="dxa"/>
          </w:tcPr>
          <w:p w14:paraId="77625DB5" w14:textId="77777777" w:rsidR="003D303B" w:rsidRDefault="00543CFD">
            <w:hyperlink r:id="rId18" w:history="1">
              <w:r w:rsidR="001118DC" w:rsidRPr="00F4617D">
                <w:rPr>
                  <w:rStyle w:val="Hyperlink"/>
                </w:rPr>
                <w:t>http://cspogil.org/Roles+and+Role+Cards</w:t>
              </w:r>
            </w:hyperlink>
            <w:r w:rsidR="001118DC">
              <w:t xml:space="preserve"> </w:t>
            </w:r>
          </w:p>
          <w:p w14:paraId="290F6A1A" w14:textId="77777777" w:rsidR="00577D7F" w:rsidRDefault="00577D7F"/>
          <w:p w14:paraId="3D9EA940" w14:textId="58FC0373" w:rsidR="00577D7F" w:rsidRDefault="00577D7F">
            <w:r>
              <w:t xml:space="preserve">POGIL = </w:t>
            </w:r>
            <w:r w:rsidR="0000628C" w:rsidRPr="0000628C">
              <w:t>Process Oriented Guided Inquiry Learning</w:t>
            </w:r>
          </w:p>
        </w:tc>
      </w:tr>
      <w:tr w:rsidR="000B0CBC" w14:paraId="4718F9C4" w14:textId="77777777" w:rsidTr="00DB0387">
        <w:tc>
          <w:tcPr>
            <w:tcW w:w="1885" w:type="dxa"/>
          </w:tcPr>
          <w:p w14:paraId="5EC00B48" w14:textId="47679F9B" w:rsidR="003D303B" w:rsidRDefault="001118DC">
            <w:r>
              <w:t>Develop and define your own instructor role in the conversation</w:t>
            </w:r>
          </w:p>
        </w:tc>
        <w:tc>
          <w:tcPr>
            <w:tcW w:w="5580" w:type="dxa"/>
          </w:tcPr>
          <w:p w14:paraId="087DACD1" w14:textId="1363772D" w:rsidR="006F0ADA" w:rsidRDefault="001118DC">
            <w:proofErr w:type="spellStart"/>
            <w:r>
              <w:t>Ezzedeen</w:t>
            </w:r>
            <w:proofErr w:type="spellEnd"/>
            <w:r>
              <w:t xml:space="preserve"> (2008) points out that students can be inhibited by the presence of an expert; </w:t>
            </w:r>
            <w:r w:rsidR="006F0ADA">
              <w:t>instructor</w:t>
            </w:r>
            <w:r w:rsidR="00B60167">
              <w:t>s</w:t>
            </w:r>
            <w:r w:rsidR="006F0ADA">
              <w:t xml:space="preserve"> can alleviate that </w:t>
            </w:r>
            <w:r w:rsidR="00B60167">
              <w:t xml:space="preserve">situation </w:t>
            </w:r>
            <w:r w:rsidR="006F0ADA">
              <w:t xml:space="preserve">by explaining that their role is as a facilitator, not an </w:t>
            </w:r>
            <w:r w:rsidR="004B16A4">
              <w:t>expert.</w:t>
            </w:r>
            <w:r w:rsidR="006F0ADA">
              <w:t xml:space="preserve"> </w:t>
            </w:r>
            <w:r w:rsidR="002E7B49">
              <w:t xml:space="preserve">Stick to that </w:t>
            </w:r>
            <w:proofErr w:type="gramStart"/>
            <w:r w:rsidR="002E7B49">
              <w:t>role, and</w:t>
            </w:r>
            <w:proofErr w:type="gramEnd"/>
            <w:r w:rsidR="002E7B49">
              <w:t xml:space="preserve"> allow students to do most of the talking.</w:t>
            </w:r>
          </w:p>
        </w:tc>
        <w:tc>
          <w:tcPr>
            <w:tcW w:w="6030" w:type="dxa"/>
          </w:tcPr>
          <w:p w14:paraId="585B715E" w14:textId="678D5E54" w:rsidR="003D303B" w:rsidRDefault="001118DC">
            <w:proofErr w:type="spellStart"/>
            <w:r>
              <w:t>Ezzedeen</w:t>
            </w:r>
            <w:proofErr w:type="spellEnd"/>
            <w:r>
              <w:t>, 2008</w:t>
            </w:r>
          </w:p>
        </w:tc>
      </w:tr>
      <w:tr w:rsidR="000B0CBC" w14:paraId="72A07761" w14:textId="77777777" w:rsidTr="00DB0387">
        <w:tc>
          <w:tcPr>
            <w:tcW w:w="1885" w:type="dxa"/>
          </w:tcPr>
          <w:p w14:paraId="2432AD25" w14:textId="6CE9ED0E" w:rsidR="003D303B" w:rsidRDefault="001118DC">
            <w:r>
              <w:t>Chat off-topic with students whenever possible</w:t>
            </w:r>
          </w:p>
        </w:tc>
        <w:tc>
          <w:tcPr>
            <w:tcW w:w="5580" w:type="dxa"/>
          </w:tcPr>
          <w:p w14:paraId="47292F38" w14:textId="4610E207" w:rsidR="003D303B" w:rsidRDefault="001118DC">
            <w:r>
              <w:t>Chatting with students when they enter a classroom and/or during breaks can help to create relaxed trust between instructor and students</w:t>
            </w:r>
          </w:p>
        </w:tc>
        <w:tc>
          <w:tcPr>
            <w:tcW w:w="6030" w:type="dxa"/>
          </w:tcPr>
          <w:p w14:paraId="12055BD3" w14:textId="39ED1381" w:rsidR="003D303B" w:rsidRDefault="001118DC">
            <w:proofErr w:type="spellStart"/>
            <w:r>
              <w:t>Ezzedeen</w:t>
            </w:r>
            <w:proofErr w:type="spellEnd"/>
            <w:r>
              <w:t>, 2008</w:t>
            </w:r>
          </w:p>
        </w:tc>
      </w:tr>
      <w:tr w:rsidR="006F0ADA" w14:paraId="4209232A" w14:textId="77777777" w:rsidTr="00DB0387">
        <w:tc>
          <w:tcPr>
            <w:tcW w:w="1885" w:type="dxa"/>
          </w:tcPr>
          <w:p w14:paraId="3C492E0F" w14:textId="737950D8" w:rsidR="006F0ADA" w:rsidRDefault="006F0ADA">
            <w:r>
              <w:t>Practice makes perfect</w:t>
            </w:r>
          </w:p>
        </w:tc>
        <w:tc>
          <w:tcPr>
            <w:tcW w:w="5580" w:type="dxa"/>
          </w:tcPr>
          <w:p w14:paraId="5E78D295" w14:textId="6E358411" w:rsidR="006F0ADA" w:rsidRDefault="00EF6101">
            <w:r>
              <w:t>Scheduling regular conversations within your classes will give you increased confidence and skill with leading conversations; students will also become more comfortable</w:t>
            </w:r>
            <w:r w:rsidR="006A13AC">
              <w:t xml:space="preserve"> when the conversations are routine</w:t>
            </w:r>
            <w:r>
              <w:t>.</w:t>
            </w:r>
          </w:p>
        </w:tc>
        <w:tc>
          <w:tcPr>
            <w:tcW w:w="6030" w:type="dxa"/>
          </w:tcPr>
          <w:p w14:paraId="5C3395DD" w14:textId="77777777" w:rsidR="006F0ADA" w:rsidRDefault="006F0ADA"/>
        </w:tc>
      </w:tr>
      <w:tr w:rsidR="00A96969" w14:paraId="43AB27ED" w14:textId="77777777" w:rsidTr="00DB0387">
        <w:tc>
          <w:tcPr>
            <w:tcW w:w="1885" w:type="dxa"/>
          </w:tcPr>
          <w:p w14:paraId="6E4492C7" w14:textId="6A2FEC49" w:rsidR="00A96969" w:rsidRDefault="00A96969">
            <w:r>
              <w:t>Remind students repeated</w:t>
            </w:r>
            <w:r w:rsidR="00E86D49">
              <w:t>ly of</w:t>
            </w:r>
            <w:r>
              <w:t xml:space="preserve"> the </w:t>
            </w:r>
            <w:r w:rsidR="00E86D49">
              <w:t>value</w:t>
            </w:r>
            <w:r>
              <w:t xml:space="preserve"> of </w:t>
            </w:r>
            <w:r w:rsidR="00E86D49">
              <w:t xml:space="preserve">course </w:t>
            </w:r>
            <w:r>
              <w:t>conversations</w:t>
            </w:r>
            <w:r w:rsidR="00E86D49">
              <w:t>/discussions,</w:t>
            </w:r>
            <w:r>
              <w:t xml:space="preserve"> ground</w:t>
            </w:r>
            <w:r w:rsidR="009A7E2C">
              <w:t xml:space="preserve"> rules, and student roles</w:t>
            </w:r>
          </w:p>
        </w:tc>
        <w:tc>
          <w:tcPr>
            <w:tcW w:w="5580" w:type="dxa"/>
          </w:tcPr>
          <w:p w14:paraId="3B6CF21F" w14:textId="4C8C5321" w:rsidR="00A96969" w:rsidRDefault="002C0841">
            <w:r>
              <w:t>Reiterating the value of conversations</w:t>
            </w:r>
            <w:r w:rsidR="00601F89">
              <w:t>/discussions</w:t>
            </w:r>
            <w:r>
              <w:t xml:space="preserve">, the value of ground rules, and the value of learning soft-skills through student roles (presenter, </w:t>
            </w:r>
            <w:r w:rsidR="00B21CEC">
              <w:t>recorder, reflector, and facilitator) may generate buy-in and understanding</w:t>
            </w:r>
            <w:r w:rsidR="00532748">
              <w:t xml:space="preserve"> from </w:t>
            </w:r>
            <w:r w:rsidR="004B16A4">
              <w:t>students</w:t>
            </w:r>
            <w:r w:rsidR="00B21CEC">
              <w:t>.</w:t>
            </w:r>
          </w:p>
          <w:p w14:paraId="57BFD3F4" w14:textId="1CE940F0" w:rsidR="00B21CEC" w:rsidRDefault="00B21CEC"/>
        </w:tc>
        <w:tc>
          <w:tcPr>
            <w:tcW w:w="6030" w:type="dxa"/>
          </w:tcPr>
          <w:p w14:paraId="753314A0" w14:textId="77777777" w:rsidR="00A96969" w:rsidRDefault="00A96969"/>
        </w:tc>
      </w:tr>
      <w:tr w:rsidR="006E4B16" w14:paraId="5B7D840D" w14:textId="77777777" w:rsidTr="00DB0387">
        <w:tc>
          <w:tcPr>
            <w:tcW w:w="1885" w:type="dxa"/>
          </w:tcPr>
          <w:p w14:paraId="617FBF44" w14:textId="12D8B93F" w:rsidR="006E4B16" w:rsidRDefault="007E7E20">
            <w:r w:rsidRPr="007E7E20">
              <w:t>Form your own learning group with your colleagues, be your own leader in learning about how to introduce diversity issues in a healthy way in the classroom.</w:t>
            </w:r>
          </w:p>
        </w:tc>
        <w:tc>
          <w:tcPr>
            <w:tcW w:w="5580" w:type="dxa"/>
          </w:tcPr>
          <w:p w14:paraId="7CD98212" w14:textId="0F3656B8" w:rsidR="006E4B16" w:rsidRDefault="00EC729C">
            <w:proofErr w:type="spellStart"/>
            <w:r w:rsidRPr="007E7E20">
              <w:t>Qubes</w:t>
            </w:r>
            <w:proofErr w:type="spellEnd"/>
            <w:r w:rsidRPr="007E7E20">
              <w:t xml:space="preserve"> is a superb place to find a collegial group to join!</w:t>
            </w:r>
          </w:p>
        </w:tc>
        <w:tc>
          <w:tcPr>
            <w:tcW w:w="6030" w:type="dxa"/>
          </w:tcPr>
          <w:p w14:paraId="319CCA1F" w14:textId="77777777" w:rsidR="006E4B16" w:rsidRDefault="00543CFD">
            <w:hyperlink r:id="rId19" w:history="1">
              <w:r w:rsidR="00EC729C" w:rsidRPr="00EC729C">
                <w:rPr>
                  <w:rStyle w:val="Hyperlink"/>
                </w:rPr>
                <w:t>https://repository.upenn.edu/cgi/viewcontent.cgi?article=1212&amp;context=gse_pubs</w:t>
              </w:r>
            </w:hyperlink>
            <w:r w:rsidR="00EC729C" w:rsidRPr="00EC729C">
              <w:t xml:space="preserve"> </w:t>
            </w:r>
          </w:p>
          <w:p w14:paraId="71CDB348" w14:textId="77777777" w:rsidR="003C23A8" w:rsidRDefault="003C23A8"/>
          <w:p w14:paraId="3F5FDBBC" w14:textId="541E2B48" w:rsidR="003C23A8" w:rsidRPr="00EC729C" w:rsidRDefault="00543CFD">
            <w:hyperlink r:id="rId20" w:history="1">
              <w:r w:rsidR="003C23A8" w:rsidRPr="001449BE">
                <w:rPr>
                  <w:rStyle w:val="Hyperlink"/>
                </w:rPr>
                <w:t>https://www.luminafoundation.org/talking-equity/</w:t>
              </w:r>
            </w:hyperlink>
            <w:r w:rsidR="003C23A8">
              <w:t xml:space="preserve"> </w:t>
            </w:r>
          </w:p>
        </w:tc>
      </w:tr>
      <w:tr w:rsidR="003C23A8" w14:paraId="506C3BBC" w14:textId="77777777" w:rsidTr="00DB0387">
        <w:tc>
          <w:tcPr>
            <w:tcW w:w="1885" w:type="dxa"/>
          </w:tcPr>
          <w:p w14:paraId="732DC8F5" w14:textId="0E38B186" w:rsidR="003C23A8" w:rsidRPr="00F11350" w:rsidRDefault="003C23A8">
            <w:r>
              <w:t>Decolonize your classroom</w:t>
            </w:r>
          </w:p>
        </w:tc>
        <w:tc>
          <w:tcPr>
            <w:tcW w:w="5580" w:type="dxa"/>
          </w:tcPr>
          <w:p w14:paraId="37EA16FA" w14:textId="40C1FD4F" w:rsidR="003C23A8" w:rsidRDefault="007E26C3">
            <w:r>
              <w:t>R</w:t>
            </w:r>
            <w:r w:rsidR="004C37E3">
              <w:t xml:space="preserve">e-evaluate all your teaching materials </w:t>
            </w:r>
            <w:r>
              <w:t>in the context of</w:t>
            </w:r>
            <w:r w:rsidR="004C37E3">
              <w:t xml:space="preserve"> </w:t>
            </w:r>
            <w:r w:rsidR="004C37E3" w:rsidRPr="004C37E3">
              <w:t>colonization, poverty, sexism, racism,</w:t>
            </w:r>
            <w:r>
              <w:t xml:space="preserve"> anti-black racism,</w:t>
            </w:r>
            <w:r w:rsidR="004C37E3" w:rsidRPr="004C37E3">
              <w:t xml:space="preserve"> homophobia</w:t>
            </w:r>
            <w:r w:rsidR="004C37E3">
              <w:t xml:space="preserve"> and make sure your classroom materials aren’t perpetuating </w:t>
            </w:r>
            <w:r>
              <w:t xml:space="preserve">unhealthy language or silencing historical </w:t>
            </w:r>
            <w:proofErr w:type="gramStart"/>
            <w:r>
              <w:t>trauma</w:t>
            </w:r>
            <w:proofErr w:type="gramEnd"/>
          </w:p>
          <w:p w14:paraId="15EC4B5D" w14:textId="77777777" w:rsidR="007E26C3" w:rsidRDefault="007E26C3"/>
          <w:p w14:paraId="3E836101" w14:textId="2A7007FC" w:rsidR="007E26C3" w:rsidRDefault="007E26C3">
            <w:r>
              <w:t>Pay attention that your activities do not victimize or further marginalize any group</w:t>
            </w:r>
          </w:p>
        </w:tc>
        <w:tc>
          <w:tcPr>
            <w:tcW w:w="6030" w:type="dxa"/>
          </w:tcPr>
          <w:p w14:paraId="4DA2B140" w14:textId="77777777" w:rsidR="003C23A8" w:rsidRDefault="00543CFD">
            <w:hyperlink r:id="rId21" w:history="1">
              <w:r w:rsidR="007F2BE4" w:rsidRPr="001449BE">
                <w:rPr>
                  <w:rStyle w:val="Hyperlink"/>
                </w:rPr>
                <w:t>https://www.pbs.org/education/blog/decolonizing-our-classrooms-starts-with-us</w:t>
              </w:r>
            </w:hyperlink>
            <w:r w:rsidR="007F2BE4">
              <w:t xml:space="preserve"> </w:t>
            </w:r>
          </w:p>
          <w:p w14:paraId="655C2190" w14:textId="77777777" w:rsidR="007E26C3" w:rsidRDefault="007E26C3"/>
          <w:p w14:paraId="512D42E5" w14:textId="3AA2F2E0" w:rsidR="007E26C3" w:rsidRDefault="007E26C3">
            <w:hyperlink r:id="rId22" w:history="1">
              <w:r w:rsidRPr="008C7EEE">
                <w:rPr>
                  <w:rStyle w:val="Hyperlink"/>
                </w:rPr>
                <w:t>https://ncte.org/blog/2019/04/decolonizing-the-classroom/</w:t>
              </w:r>
            </w:hyperlink>
            <w:r>
              <w:t xml:space="preserve"> </w:t>
            </w:r>
          </w:p>
        </w:tc>
      </w:tr>
      <w:tr w:rsidR="00EC729C" w14:paraId="70EBAFC7" w14:textId="77777777" w:rsidTr="00DB0387">
        <w:tc>
          <w:tcPr>
            <w:tcW w:w="1885" w:type="dxa"/>
          </w:tcPr>
          <w:p w14:paraId="0173764B" w14:textId="332335C3" w:rsidR="00EC729C" w:rsidRPr="007E7E20" w:rsidRDefault="00F11350">
            <w:r w:rsidRPr="00F11350">
              <w:t>Familiarize yourself with common microaggressions and avoid them.</w:t>
            </w:r>
          </w:p>
        </w:tc>
        <w:tc>
          <w:tcPr>
            <w:tcW w:w="5580" w:type="dxa"/>
          </w:tcPr>
          <w:p w14:paraId="458DD205" w14:textId="766C4CA1" w:rsidR="00EC729C" w:rsidRPr="007E7E20" w:rsidRDefault="00543CFD">
            <w:r>
              <w:t>Avoid</w:t>
            </w:r>
            <w:r w:rsidR="00F94D25">
              <w:t xml:space="preserve"> the </w:t>
            </w:r>
            <w:r w:rsidR="00C56F6B">
              <w:t>terms slum</w:t>
            </w:r>
            <w:r w:rsidR="007E26C3">
              <w:t>, riots,</w:t>
            </w:r>
            <w:r w:rsidR="00C56F6B">
              <w:t xml:space="preserve"> and ghetto</w:t>
            </w:r>
            <w:r w:rsidR="00F94D25">
              <w:t>, which are laden with unhelpful stereotypes.</w:t>
            </w:r>
            <w:r w:rsidR="007F2BE4">
              <w:t xml:space="preserve"> Emphasize </w:t>
            </w:r>
            <w:r w:rsidR="00477A6A">
              <w:t xml:space="preserve">community </w:t>
            </w:r>
            <w:r w:rsidR="007F2BE4">
              <w:t>empowerment</w:t>
            </w:r>
            <w:r>
              <w:t xml:space="preserve"> and resistance</w:t>
            </w:r>
            <w:r w:rsidR="007F2BE4">
              <w:t xml:space="preserve">, not paternalistic or colonial </w:t>
            </w:r>
            <w:r w:rsidR="00477A6A">
              <w:t>solutions to historic problems</w:t>
            </w:r>
            <w:r w:rsidR="007F2BE4">
              <w:t>.</w:t>
            </w:r>
          </w:p>
        </w:tc>
        <w:tc>
          <w:tcPr>
            <w:tcW w:w="6030" w:type="dxa"/>
          </w:tcPr>
          <w:p w14:paraId="6CBEDB30" w14:textId="70847C2A" w:rsidR="00EC729C" w:rsidRPr="00EC729C" w:rsidRDefault="00543CFD">
            <w:hyperlink r:id="rId23" w:history="1">
              <w:r w:rsidR="00C56F6B" w:rsidRPr="00241717">
                <w:rPr>
                  <w:rStyle w:val="Hyperlink"/>
                </w:rPr>
                <w:t>https://www.messiah.edu/download/downloads/id/921/Microaggressions_in_the_Classroom.pdf</w:t>
              </w:r>
            </w:hyperlink>
            <w:r w:rsidR="00C56F6B">
              <w:t xml:space="preserve"> </w:t>
            </w:r>
          </w:p>
        </w:tc>
      </w:tr>
    </w:tbl>
    <w:p w14:paraId="106C5474" w14:textId="584D9937" w:rsidR="003D303B" w:rsidRDefault="003D303B"/>
    <w:p w14:paraId="30DEF33D" w14:textId="47CC3396" w:rsidR="005D0B86" w:rsidRDefault="005D0B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Ezzedeen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R. (2008). Facilitating class discussions around current and controversial issues: Ten recommendations for teachers.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College Teaching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230-236.</w:t>
      </w:r>
    </w:p>
    <w:p w14:paraId="7FE3ECA3" w14:textId="77777777" w:rsidR="005D0B86" w:rsidRDefault="005D0B86"/>
    <w:sectPr w:rsidR="005D0B86" w:rsidSect="00DB03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5546"/>
    <w:multiLevelType w:val="hybridMultilevel"/>
    <w:tmpl w:val="5520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3B"/>
    <w:rsid w:val="0000628C"/>
    <w:rsid w:val="00012463"/>
    <w:rsid w:val="000B0CBC"/>
    <w:rsid w:val="001118DC"/>
    <w:rsid w:val="001227A5"/>
    <w:rsid w:val="001377B5"/>
    <w:rsid w:val="001D2E65"/>
    <w:rsid w:val="001F0DAC"/>
    <w:rsid w:val="002014BA"/>
    <w:rsid w:val="0023014C"/>
    <w:rsid w:val="00232EF6"/>
    <w:rsid w:val="0026740E"/>
    <w:rsid w:val="002843C1"/>
    <w:rsid w:val="002B3B93"/>
    <w:rsid w:val="002C0841"/>
    <w:rsid w:val="002D0149"/>
    <w:rsid w:val="002D63D2"/>
    <w:rsid w:val="002E7B49"/>
    <w:rsid w:val="002F1F19"/>
    <w:rsid w:val="003409E1"/>
    <w:rsid w:val="00341D56"/>
    <w:rsid w:val="00351781"/>
    <w:rsid w:val="003555C1"/>
    <w:rsid w:val="00386B2F"/>
    <w:rsid w:val="003A52DA"/>
    <w:rsid w:val="003C23A8"/>
    <w:rsid w:val="003D303B"/>
    <w:rsid w:val="00422EBB"/>
    <w:rsid w:val="004768E8"/>
    <w:rsid w:val="00477A6A"/>
    <w:rsid w:val="004B16A4"/>
    <w:rsid w:val="004C37E3"/>
    <w:rsid w:val="00516F93"/>
    <w:rsid w:val="00532748"/>
    <w:rsid w:val="00543CFD"/>
    <w:rsid w:val="0054622F"/>
    <w:rsid w:val="00577D7F"/>
    <w:rsid w:val="005A7357"/>
    <w:rsid w:val="005B14F0"/>
    <w:rsid w:val="005C3B4A"/>
    <w:rsid w:val="005D0B86"/>
    <w:rsid w:val="005E2188"/>
    <w:rsid w:val="005F7EAD"/>
    <w:rsid w:val="00601F89"/>
    <w:rsid w:val="00633970"/>
    <w:rsid w:val="006A13AC"/>
    <w:rsid w:val="006E4B16"/>
    <w:rsid w:val="006F0ADA"/>
    <w:rsid w:val="00715B36"/>
    <w:rsid w:val="00790210"/>
    <w:rsid w:val="007E26C3"/>
    <w:rsid w:val="007E7E20"/>
    <w:rsid w:val="007F2BE4"/>
    <w:rsid w:val="00824A1C"/>
    <w:rsid w:val="00837F00"/>
    <w:rsid w:val="00843F94"/>
    <w:rsid w:val="00850FB8"/>
    <w:rsid w:val="00854E7D"/>
    <w:rsid w:val="00855C71"/>
    <w:rsid w:val="008B10F4"/>
    <w:rsid w:val="008B36FD"/>
    <w:rsid w:val="008D5F80"/>
    <w:rsid w:val="00901FF2"/>
    <w:rsid w:val="00935C50"/>
    <w:rsid w:val="00961C00"/>
    <w:rsid w:val="009A7E2C"/>
    <w:rsid w:val="009B6A68"/>
    <w:rsid w:val="00A11A71"/>
    <w:rsid w:val="00A263B0"/>
    <w:rsid w:val="00A959F0"/>
    <w:rsid w:val="00A96969"/>
    <w:rsid w:val="00AA42BE"/>
    <w:rsid w:val="00AD7348"/>
    <w:rsid w:val="00B14135"/>
    <w:rsid w:val="00B21CEC"/>
    <w:rsid w:val="00B27F86"/>
    <w:rsid w:val="00B52616"/>
    <w:rsid w:val="00B60167"/>
    <w:rsid w:val="00B80D7F"/>
    <w:rsid w:val="00B817B3"/>
    <w:rsid w:val="00BA3889"/>
    <w:rsid w:val="00BB3A39"/>
    <w:rsid w:val="00BB5D83"/>
    <w:rsid w:val="00BE32A9"/>
    <w:rsid w:val="00C33D6C"/>
    <w:rsid w:val="00C56F6B"/>
    <w:rsid w:val="00CD3456"/>
    <w:rsid w:val="00CE2E73"/>
    <w:rsid w:val="00D31D76"/>
    <w:rsid w:val="00D36224"/>
    <w:rsid w:val="00D65206"/>
    <w:rsid w:val="00D87BED"/>
    <w:rsid w:val="00D935DA"/>
    <w:rsid w:val="00D94620"/>
    <w:rsid w:val="00D9633A"/>
    <w:rsid w:val="00DB0387"/>
    <w:rsid w:val="00E01B3E"/>
    <w:rsid w:val="00E036CD"/>
    <w:rsid w:val="00E11D2A"/>
    <w:rsid w:val="00E23F64"/>
    <w:rsid w:val="00E82D21"/>
    <w:rsid w:val="00E86D49"/>
    <w:rsid w:val="00EC729C"/>
    <w:rsid w:val="00EF6101"/>
    <w:rsid w:val="00F11350"/>
    <w:rsid w:val="00F86125"/>
    <w:rsid w:val="00F94D25"/>
    <w:rsid w:val="00FC2591"/>
    <w:rsid w:val="00FC579E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2D63"/>
  <w15:chartTrackingRefBased/>
  <w15:docId w15:val="{DE48C179-8C02-4267-BE55-DD47E964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F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5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inafoundation.org/talking-equity/" TargetMode="External"/><Relationship Id="rId13" Type="http://schemas.openxmlformats.org/officeDocument/2006/relationships/hyperlink" Target="https://web.stanford.edu/group/resed/resed/staffresources/RM/training/facilguide.html#start" TargetMode="External"/><Relationship Id="rId18" Type="http://schemas.openxmlformats.org/officeDocument/2006/relationships/hyperlink" Target="http://cspogil.org/Roles+and+Role+Car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bs.org/education/blog/decolonizing-our-classrooms-starts-with-us" TargetMode="External"/><Relationship Id="rId7" Type="http://schemas.openxmlformats.org/officeDocument/2006/relationships/hyperlink" Target="https://www.luminafoundation.org/talking-equity/" TargetMode="External"/><Relationship Id="rId12" Type="http://schemas.openxmlformats.org/officeDocument/2006/relationships/hyperlink" Target="https://learninginnovation.duke.edu/wp-content/uploads/2018/01/ITF-H1-discussionguide-17h5iob.pdf" TargetMode="External"/><Relationship Id="rId17" Type="http://schemas.openxmlformats.org/officeDocument/2006/relationships/hyperlink" Target="https://pogil.org/about-pogil/pogil-faq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uminafoundation.org/talking-equity/" TargetMode="External"/><Relationship Id="rId20" Type="http://schemas.openxmlformats.org/officeDocument/2006/relationships/hyperlink" Target="https://www.luminafoundation.org/talking-equi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innovation.duke.edu/wp-content/uploads/2018/01/ITF-H1-discussionguide-17h5iob.pdf" TargetMode="External"/><Relationship Id="rId11" Type="http://schemas.openxmlformats.org/officeDocument/2006/relationships/hyperlink" Target="https://web.stanford.edu/group/resed/resed/staffresources/RM/training/facilguid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eb.stanford.edu/group/resed/resed/staffresources/RM/training/facilguide.html" TargetMode="External"/><Relationship Id="rId15" Type="http://schemas.openxmlformats.org/officeDocument/2006/relationships/hyperlink" Target="https://www.learningforjustice.org/magazine/publications/critical-practices-for-antibias-education/classroom-culture" TargetMode="External"/><Relationship Id="rId23" Type="http://schemas.openxmlformats.org/officeDocument/2006/relationships/hyperlink" Target="https://www.messiah.edu/download/downloads/id/921/Microaggressions_in_the_Classroom.pdf" TargetMode="External"/><Relationship Id="rId10" Type="http://schemas.openxmlformats.org/officeDocument/2006/relationships/hyperlink" Target="https://www.learningforjustice.org/magazine/publications/critical-practices-for-antibias-education/classroom-culture" TargetMode="External"/><Relationship Id="rId19" Type="http://schemas.openxmlformats.org/officeDocument/2006/relationships/hyperlink" Target="https://repository.upenn.edu/cgi/viewcontent.cgi?article=1212&amp;context=gse_pu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innovation.duke.edu/blog/2018/01/guidelines-interaction-better-class-discussions/" TargetMode="External"/><Relationship Id="rId14" Type="http://schemas.openxmlformats.org/officeDocument/2006/relationships/hyperlink" Target="https://web.stanford.edu/group/resed/resed/staffresources/RM/training/facilguide.html#wrapup" TargetMode="External"/><Relationship Id="rId22" Type="http://schemas.openxmlformats.org/officeDocument/2006/relationships/hyperlink" Target="https://ncte.org/blog/2019/04/decolonizing-the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Tips and Techniques for Successful Class Conversations</vt:lpstr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Mulcahy, Mary Puterbaugh</dc:creator>
  <cp:keywords/>
  <dc:description/>
  <cp:lastModifiedBy>Mulcahy, Mary Puterbaugh</cp:lastModifiedBy>
  <cp:revision>5</cp:revision>
  <dcterms:created xsi:type="dcterms:W3CDTF">2021-07-17T18:13:00Z</dcterms:created>
  <dcterms:modified xsi:type="dcterms:W3CDTF">2021-07-17T18:22:00Z</dcterms:modified>
</cp:coreProperties>
</file>