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FA04" w14:textId="3FAF45A0" w:rsidR="00992E25" w:rsidRPr="0088723D" w:rsidRDefault="00992E25" w:rsidP="00992E25">
      <w:pPr>
        <w:pStyle w:val="Title"/>
        <w:keepNext w:val="0"/>
        <w:keepLines w:val="0"/>
        <w:spacing w:after="200"/>
        <w:rPr>
          <w:sz w:val="44"/>
          <w:szCs w:val="44"/>
        </w:rPr>
      </w:pPr>
      <w:r w:rsidRPr="0088723D">
        <w:rPr>
          <w:sz w:val="44"/>
          <w:szCs w:val="44"/>
        </w:rPr>
        <w:t>A Scientist Spotlight</w:t>
      </w:r>
      <w:r w:rsidR="00950ADB">
        <w:rPr>
          <w:sz w:val="44"/>
          <w:szCs w:val="44"/>
        </w:rPr>
        <w:t xml:space="preserve"> Featuring Dr. Danielle Brown</w:t>
      </w:r>
    </w:p>
    <w:p w14:paraId="00000002" w14:textId="77777777" w:rsidR="00B013A2" w:rsidRDefault="00B013A2">
      <w:pPr>
        <w:rPr>
          <w:b/>
        </w:rPr>
      </w:pPr>
    </w:p>
    <w:p w14:paraId="00000003" w14:textId="1F05E6A5" w:rsidR="00B013A2" w:rsidRDefault="00950AD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Author: </w:t>
      </w:r>
      <w:r w:rsidR="00992E25">
        <w:rPr>
          <w:sz w:val="24"/>
          <w:szCs w:val="24"/>
        </w:rPr>
        <w:t>Merrie Richardson, Southcentral Kentucky Community &amp; Technical College, (270) 901-1077, merrie.richardson@kctcs.edu</w:t>
      </w:r>
    </w:p>
    <w:p w14:paraId="00000004" w14:textId="77777777" w:rsidR="00B013A2" w:rsidRDefault="00B013A2">
      <w:pPr>
        <w:rPr>
          <w:sz w:val="24"/>
          <w:szCs w:val="24"/>
        </w:rPr>
      </w:pPr>
    </w:p>
    <w:p w14:paraId="00000005" w14:textId="77777777" w:rsidR="00B013A2" w:rsidRDefault="00950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</w:t>
      </w:r>
    </w:p>
    <w:p w14:paraId="00000006" w14:textId="4FD22806" w:rsidR="00B013A2" w:rsidRDefault="00950ADB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992E25">
        <w:rPr>
          <w:sz w:val="24"/>
          <w:szCs w:val="24"/>
        </w:rPr>
        <w:t xml:space="preserve"> Biology</w:t>
      </w:r>
    </w:p>
    <w:p w14:paraId="00000007" w14:textId="2BA32C81" w:rsidR="00B013A2" w:rsidRDefault="00950ADB">
      <w:pPr>
        <w:rPr>
          <w:sz w:val="24"/>
          <w:szCs w:val="24"/>
        </w:rPr>
      </w:pPr>
      <w:r>
        <w:rPr>
          <w:sz w:val="24"/>
          <w:szCs w:val="24"/>
        </w:rPr>
        <w:t xml:space="preserve">Level: </w:t>
      </w:r>
      <w:r>
        <w:rPr>
          <w:b/>
          <w:sz w:val="24"/>
          <w:szCs w:val="24"/>
        </w:rPr>
        <w:t xml:space="preserve">Lower Undergraduate </w:t>
      </w:r>
    </w:p>
    <w:p w14:paraId="00000008" w14:textId="7BEE20CF" w:rsidR="00B013A2" w:rsidRDefault="00950ADB">
      <w:pPr>
        <w:rPr>
          <w:sz w:val="24"/>
          <w:szCs w:val="24"/>
        </w:rPr>
      </w:pPr>
      <w:r>
        <w:rPr>
          <w:sz w:val="24"/>
          <w:szCs w:val="24"/>
        </w:rPr>
        <w:t>Course type:</w:t>
      </w:r>
      <w:r w:rsidR="00992E2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Lecture</w:t>
      </w:r>
    </w:p>
    <w:p w14:paraId="00000009" w14:textId="1602D10E" w:rsidR="00B013A2" w:rsidRDefault="00950ADB">
      <w:pPr>
        <w:rPr>
          <w:sz w:val="24"/>
          <w:szCs w:val="24"/>
        </w:rPr>
      </w:pPr>
      <w:r>
        <w:rPr>
          <w:sz w:val="24"/>
          <w:szCs w:val="24"/>
        </w:rPr>
        <w:t>Students:</w:t>
      </w:r>
      <w:r>
        <w:rPr>
          <w:b/>
          <w:sz w:val="24"/>
          <w:szCs w:val="24"/>
        </w:rPr>
        <w:t xml:space="preserve"> Majors</w:t>
      </w:r>
      <w:r w:rsidR="00992E25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Non-majors</w:t>
      </w:r>
      <w:r>
        <w:rPr>
          <w:sz w:val="24"/>
          <w:szCs w:val="24"/>
        </w:rPr>
        <w:t xml:space="preserve"> </w:t>
      </w:r>
    </w:p>
    <w:p w14:paraId="0000000A" w14:textId="2BF8996C" w:rsidR="00B013A2" w:rsidRDefault="00950ADB">
      <w:pPr>
        <w:rPr>
          <w:sz w:val="24"/>
          <w:szCs w:val="24"/>
        </w:rPr>
      </w:pPr>
      <w:r>
        <w:rPr>
          <w:sz w:val="24"/>
          <w:szCs w:val="24"/>
        </w:rPr>
        <w:t>Number of Students:</w:t>
      </w:r>
      <w:r w:rsidR="00992E25">
        <w:rPr>
          <w:sz w:val="24"/>
          <w:szCs w:val="24"/>
        </w:rPr>
        <w:t xml:space="preserve"> 28</w:t>
      </w:r>
    </w:p>
    <w:p w14:paraId="0000000B" w14:textId="77777777" w:rsidR="00B013A2" w:rsidRDefault="00B013A2">
      <w:pPr>
        <w:rPr>
          <w:sz w:val="24"/>
          <w:szCs w:val="24"/>
        </w:rPr>
      </w:pPr>
    </w:p>
    <w:p w14:paraId="0000000C" w14:textId="2385631F" w:rsidR="00B013A2" w:rsidRDefault="00950ADB">
      <w:pPr>
        <w:rPr>
          <w:sz w:val="24"/>
          <w:szCs w:val="24"/>
        </w:rPr>
      </w:pPr>
      <w:r>
        <w:rPr>
          <w:b/>
          <w:sz w:val="28"/>
          <w:szCs w:val="28"/>
        </w:rPr>
        <w:t>Summary:</w:t>
      </w:r>
      <w:r>
        <w:rPr>
          <w:b/>
          <w:sz w:val="34"/>
          <w:szCs w:val="34"/>
        </w:rPr>
        <w:t xml:space="preserve"> </w:t>
      </w:r>
      <w:r w:rsidR="00992E25">
        <w:rPr>
          <w:sz w:val="24"/>
          <w:szCs w:val="24"/>
        </w:rPr>
        <w:t xml:space="preserve">Students gain exposure to research methods in field biology and literature reviews, while checking their understanding of a figure from an original paper while learning from a </w:t>
      </w:r>
      <w:proofErr w:type="spellStart"/>
      <w:r w:rsidR="00992E25">
        <w:rPr>
          <w:sz w:val="24"/>
          <w:szCs w:val="24"/>
        </w:rPr>
        <w:t>counterstereotypical</w:t>
      </w:r>
      <w:proofErr w:type="spellEnd"/>
      <w:r w:rsidR="00992E25">
        <w:rPr>
          <w:sz w:val="24"/>
          <w:szCs w:val="24"/>
        </w:rPr>
        <w:t xml:space="preserve"> scientist.</w:t>
      </w:r>
    </w:p>
    <w:p w14:paraId="0000000D" w14:textId="77777777" w:rsidR="00B013A2" w:rsidRDefault="00B013A2"/>
    <w:p w14:paraId="0000000E" w14:textId="0D0E4764" w:rsidR="00B013A2" w:rsidRDefault="00950ADB">
      <w:pPr>
        <w:rPr>
          <w:sz w:val="24"/>
          <w:szCs w:val="24"/>
        </w:rPr>
      </w:pPr>
      <w:r>
        <w:rPr>
          <w:b/>
          <w:sz w:val="28"/>
          <w:szCs w:val="28"/>
        </w:rPr>
        <w:t>Overview:</w:t>
      </w:r>
      <w:r>
        <w:rPr>
          <w:b/>
        </w:rPr>
        <w:t xml:space="preserve"> </w:t>
      </w:r>
      <w:r w:rsidR="00992E25">
        <w:rPr>
          <w:sz w:val="24"/>
          <w:szCs w:val="24"/>
        </w:rPr>
        <w:t xml:space="preserve">Born out of a desire to incorporate diversity, inclusion, and equity themes into undergraduate biology, </w:t>
      </w:r>
      <w:r w:rsidR="00315F0F">
        <w:rPr>
          <w:sz w:val="24"/>
          <w:szCs w:val="24"/>
        </w:rPr>
        <w:t xml:space="preserve">as well as quantitative biology literacy skills, </w:t>
      </w:r>
      <w:r w:rsidR="00992E25">
        <w:rPr>
          <w:sz w:val="24"/>
          <w:szCs w:val="24"/>
        </w:rPr>
        <w:t xml:space="preserve">this lesson plan was composed </w:t>
      </w:r>
      <w:r w:rsidR="00B91A90">
        <w:rPr>
          <w:sz w:val="24"/>
          <w:szCs w:val="24"/>
        </w:rPr>
        <w:t>within a</w:t>
      </w:r>
      <w:r w:rsidR="00992E25">
        <w:rPr>
          <w:sz w:val="24"/>
          <w:szCs w:val="24"/>
        </w:rPr>
        <w:t xml:space="preserve"> Faculty Mentoring Network that grew out of a Fall Working Group </w:t>
      </w:r>
      <w:r w:rsidR="00553BD1">
        <w:rPr>
          <w:sz w:val="24"/>
          <w:szCs w:val="24"/>
        </w:rPr>
        <w:t>following</w:t>
      </w:r>
      <w:r w:rsidR="00992E25">
        <w:rPr>
          <w:sz w:val="24"/>
          <w:szCs w:val="24"/>
        </w:rPr>
        <w:t xml:space="preserve"> the Summer 2020 Biome Institute. </w:t>
      </w:r>
      <w:r w:rsidR="00315F0F">
        <w:rPr>
          <w:sz w:val="24"/>
          <w:szCs w:val="24"/>
        </w:rPr>
        <w:t xml:space="preserve">I implemented this lesson in my Introduction to Conservation Biology course, a three-credit course offered by the Kentucky Community and Technical College System. </w:t>
      </w:r>
      <w:r w:rsidR="00992E25">
        <w:rPr>
          <w:sz w:val="24"/>
          <w:szCs w:val="24"/>
        </w:rPr>
        <w:t xml:space="preserve">The goal of this activity is to demonstrate that science is a dynamic, diverse, and </w:t>
      </w:r>
      <w:r w:rsidR="00B91A90">
        <w:rPr>
          <w:sz w:val="24"/>
          <w:szCs w:val="24"/>
        </w:rPr>
        <w:t>challenging</w:t>
      </w:r>
      <w:r w:rsidR="00992E25">
        <w:rPr>
          <w:sz w:val="24"/>
          <w:szCs w:val="24"/>
        </w:rPr>
        <w:t xml:space="preserve"> process, and that scientists include individuals who may be </w:t>
      </w:r>
      <w:proofErr w:type="spellStart"/>
      <w:r w:rsidR="00992E25">
        <w:rPr>
          <w:sz w:val="24"/>
          <w:szCs w:val="24"/>
        </w:rPr>
        <w:t>counterstereotypical</w:t>
      </w:r>
      <w:proofErr w:type="spellEnd"/>
      <w:r w:rsidR="00992E25">
        <w:rPr>
          <w:sz w:val="24"/>
          <w:szCs w:val="24"/>
        </w:rPr>
        <w:t xml:space="preserve"> to many students’ perceptions. Students will be surveyed on their perceptions of science and who does science, following prompts from </w:t>
      </w:r>
      <w:proofErr w:type="spellStart"/>
      <w:r w:rsidR="00992E25">
        <w:rPr>
          <w:sz w:val="24"/>
          <w:szCs w:val="24"/>
        </w:rPr>
        <w:t>Schinske</w:t>
      </w:r>
      <w:proofErr w:type="spellEnd"/>
      <w:r w:rsidR="00992E25">
        <w:rPr>
          <w:sz w:val="24"/>
          <w:szCs w:val="24"/>
        </w:rPr>
        <w:t xml:space="preserve"> et al. (2016), </w:t>
      </w:r>
      <w:r w:rsidR="00553BD1">
        <w:rPr>
          <w:sz w:val="24"/>
          <w:szCs w:val="24"/>
        </w:rPr>
        <w:t xml:space="preserve">and assigned to </w:t>
      </w:r>
      <w:r w:rsidR="00992E25">
        <w:rPr>
          <w:sz w:val="24"/>
          <w:szCs w:val="24"/>
        </w:rPr>
        <w:t xml:space="preserve">read all or selected portions </w:t>
      </w:r>
      <w:r w:rsidR="00553BD1">
        <w:rPr>
          <w:sz w:val="24"/>
          <w:szCs w:val="24"/>
        </w:rPr>
        <w:t>of Brown et al. (</w:t>
      </w:r>
      <w:r w:rsidR="00315F0F">
        <w:rPr>
          <w:sz w:val="24"/>
          <w:szCs w:val="24"/>
        </w:rPr>
        <w:t>2013</w:t>
      </w:r>
      <w:r w:rsidR="00553BD1">
        <w:rPr>
          <w:sz w:val="24"/>
          <w:szCs w:val="24"/>
        </w:rPr>
        <w:t xml:space="preserve">). They will be asked to interpret a figure from that paper among other content-based questions. Students will then view a recorded interview with Dr. Danielle Brown, who explains the figure, before revisiting the same prompts from </w:t>
      </w:r>
      <w:proofErr w:type="spellStart"/>
      <w:r w:rsidR="00553BD1">
        <w:rPr>
          <w:sz w:val="24"/>
          <w:szCs w:val="24"/>
        </w:rPr>
        <w:t>Schinske</w:t>
      </w:r>
      <w:proofErr w:type="spellEnd"/>
      <w:r w:rsidR="00553BD1">
        <w:rPr>
          <w:sz w:val="24"/>
          <w:szCs w:val="24"/>
        </w:rPr>
        <w:t xml:space="preserve"> et al. </w:t>
      </w:r>
      <w:r w:rsidR="00315F0F">
        <w:rPr>
          <w:sz w:val="24"/>
          <w:szCs w:val="24"/>
        </w:rPr>
        <w:t xml:space="preserve">(2016) </w:t>
      </w:r>
      <w:r w:rsidR="00992E25">
        <w:rPr>
          <w:sz w:val="24"/>
          <w:szCs w:val="24"/>
        </w:rPr>
        <w:t xml:space="preserve">and </w:t>
      </w:r>
      <w:r w:rsidR="00553BD1">
        <w:rPr>
          <w:sz w:val="24"/>
          <w:szCs w:val="24"/>
        </w:rPr>
        <w:t xml:space="preserve">writing a short reflection. </w:t>
      </w:r>
    </w:p>
    <w:p w14:paraId="0000000F" w14:textId="77777777" w:rsidR="00B013A2" w:rsidRDefault="00B013A2"/>
    <w:p w14:paraId="00000010" w14:textId="68362FF6" w:rsidR="00B013A2" w:rsidRDefault="00950AD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Learning objectives: </w:t>
      </w:r>
    </w:p>
    <w:p w14:paraId="430D5399" w14:textId="77777777" w:rsidR="00E221E6" w:rsidRPr="00E221E6" w:rsidRDefault="00E221E6" w:rsidP="00E221E6">
      <w:pPr>
        <w:rPr>
          <w:b/>
          <w:sz w:val="24"/>
          <w:szCs w:val="24"/>
        </w:rPr>
      </w:pPr>
      <w:r w:rsidRPr="00E221E6">
        <w:rPr>
          <w:b/>
          <w:sz w:val="24"/>
          <w:szCs w:val="24"/>
        </w:rPr>
        <w:t xml:space="preserve">Quantitative learning objective(s) </w:t>
      </w:r>
    </w:p>
    <w:p w14:paraId="714CDED6" w14:textId="3C1F722E" w:rsidR="00E221E6" w:rsidRPr="00E221E6" w:rsidRDefault="00E221E6" w:rsidP="00E221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E221E6">
        <w:rPr>
          <w:rFonts w:ascii="Arial" w:hAnsi="Arial" w:cs="Arial"/>
          <w:sz w:val="24"/>
          <w:szCs w:val="22"/>
        </w:rPr>
        <w:t>Describe how quantitative reasoning helps biologists understand the natural world (</w:t>
      </w:r>
      <w:r w:rsidR="008F1EB6">
        <w:rPr>
          <w:rFonts w:ascii="Arial" w:hAnsi="Arial" w:cs="Arial"/>
          <w:sz w:val="24"/>
          <w:szCs w:val="22"/>
        </w:rPr>
        <w:t>Clemmons et al. 2020</w:t>
      </w:r>
      <w:r w:rsidRPr="00E221E6">
        <w:rPr>
          <w:rFonts w:ascii="Arial" w:hAnsi="Arial" w:cs="Arial"/>
          <w:sz w:val="24"/>
          <w:szCs w:val="22"/>
        </w:rPr>
        <w:t>).</w:t>
      </w:r>
    </w:p>
    <w:p w14:paraId="2D0DA8CF" w14:textId="00F8DCE9" w:rsidR="00E221E6" w:rsidRPr="00E221E6" w:rsidRDefault="00E221E6" w:rsidP="00E221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E221E6">
        <w:rPr>
          <w:rFonts w:ascii="Arial" w:hAnsi="Arial" w:cs="Arial"/>
          <w:sz w:val="24"/>
          <w:szCs w:val="22"/>
        </w:rPr>
        <w:t>Create and interpret informative graphs and other data visualizations (</w:t>
      </w:r>
      <w:r w:rsidR="008F1EB6">
        <w:rPr>
          <w:rFonts w:ascii="Arial" w:hAnsi="Arial" w:cs="Arial"/>
          <w:sz w:val="24"/>
          <w:szCs w:val="22"/>
        </w:rPr>
        <w:t>Clemmons et al. 2020).</w:t>
      </w:r>
    </w:p>
    <w:p w14:paraId="5D2C4692" w14:textId="77D5860A" w:rsidR="00E221E6" w:rsidRPr="00E221E6" w:rsidRDefault="00E221E6" w:rsidP="00E221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E221E6">
        <w:rPr>
          <w:rFonts w:ascii="Arial" w:hAnsi="Arial" w:cs="Arial"/>
          <w:sz w:val="24"/>
          <w:szCs w:val="22"/>
        </w:rPr>
        <w:lastRenderedPageBreak/>
        <w:t>Interpret the biological meaning of quantitative results (</w:t>
      </w:r>
      <w:r w:rsidR="008F1EB6">
        <w:rPr>
          <w:rFonts w:ascii="Arial" w:hAnsi="Arial" w:cs="Arial"/>
          <w:sz w:val="24"/>
          <w:szCs w:val="22"/>
        </w:rPr>
        <w:t>Clemmons et al. 2020</w:t>
      </w:r>
      <w:r w:rsidRPr="00E221E6">
        <w:rPr>
          <w:rFonts w:ascii="Arial" w:hAnsi="Arial" w:cs="Arial"/>
          <w:sz w:val="24"/>
          <w:szCs w:val="22"/>
        </w:rPr>
        <w:t>)</w:t>
      </w:r>
      <w:r w:rsidR="00B91A90">
        <w:rPr>
          <w:rFonts w:ascii="Arial" w:hAnsi="Arial" w:cs="Arial"/>
          <w:sz w:val="24"/>
          <w:szCs w:val="22"/>
        </w:rPr>
        <w:t>.</w:t>
      </w:r>
    </w:p>
    <w:p w14:paraId="069C2CC7" w14:textId="77777777" w:rsidR="00E221E6" w:rsidRPr="00E221E6" w:rsidRDefault="00E221E6" w:rsidP="00E221E6">
      <w:pPr>
        <w:rPr>
          <w:b/>
          <w:sz w:val="24"/>
          <w:szCs w:val="24"/>
        </w:rPr>
      </w:pPr>
      <w:r w:rsidRPr="00E221E6">
        <w:rPr>
          <w:b/>
          <w:sz w:val="24"/>
          <w:szCs w:val="24"/>
        </w:rPr>
        <w:t xml:space="preserve">Content learning objective(s) </w:t>
      </w:r>
    </w:p>
    <w:p w14:paraId="306E8AB0" w14:textId="26F0BD2B" w:rsidR="00E221E6" w:rsidRPr="00E221E6" w:rsidRDefault="00E221E6" w:rsidP="00E221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E221E6">
        <w:rPr>
          <w:rFonts w:ascii="Arial" w:hAnsi="Arial" w:cs="Arial"/>
          <w:sz w:val="24"/>
          <w:szCs w:val="22"/>
        </w:rPr>
        <w:t>Discuss the details of selected case histories of specific plant or animal extinction, endangerment, or conservation (as explored in class or outside of class). (</w:t>
      </w:r>
      <w:r>
        <w:rPr>
          <w:rFonts w:ascii="Arial" w:hAnsi="Arial" w:cs="Arial"/>
          <w:sz w:val="24"/>
          <w:szCs w:val="22"/>
        </w:rPr>
        <w:t>KCTCS</w:t>
      </w:r>
      <w:r w:rsidRPr="00E221E6">
        <w:rPr>
          <w:rFonts w:ascii="Arial" w:hAnsi="Arial" w:cs="Arial"/>
          <w:sz w:val="24"/>
          <w:szCs w:val="22"/>
        </w:rPr>
        <w:t>).</w:t>
      </w:r>
    </w:p>
    <w:p w14:paraId="601D1A89" w14:textId="795FC5A2" w:rsidR="00E221E6" w:rsidRPr="00E221E6" w:rsidRDefault="00E221E6" w:rsidP="00E221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E221E6">
        <w:rPr>
          <w:rFonts w:ascii="Arial" w:hAnsi="Arial" w:cs="Arial"/>
          <w:sz w:val="24"/>
          <w:szCs w:val="22"/>
        </w:rPr>
        <w:t>Describe major techniques applied to the preservation of species, including legislative action, habitat protection and restoration, preserve design, and captive breeding and reintroduction (</w:t>
      </w:r>
      <w:r>
        <w:rPr>
          <w:rFonts w:ascii="Arial" w:hAnsi="Arial" w:cs="Arial"/>
          <w:sz w:val="24"/>
          <w:szCs w:val="22"/>
        </w:rPr>
        <w:t>KCTCS</w:t>
      </w:r>
      <w:r w:rsidRPr="00E221E6">
        <w:rPr>
          <w:rFonts w:ascii="Arial" w:hAnsi="Arial" w:cs="Arial"/>
          <w:sz w:val="24"/>
          <w:szCs w:val="22"/>
        </w:rPr>
        <w:t>).</w:t>
      </w:r>
    </w:p>
    <w:p w14:paraId="578FF493" w14:textId="77777777" w:rsidR="00E221E6" w:rsidRPr="00E221E6" w:rsidRDefault="00E221E6" w:rsidP="00E221E6">
      <w:pPr>
        <w:rPr>
          <w:b/>
          <w:sz w:val="24"/>
          <w:szCs w:val="24"/>
        </w:rPr>
      </w:pPr>
      <w:r w:rsidRPr="00E221E6">
        <w:rPr>
          <w:b/>
          <w:sz w:val="24"/>
          <w:szCs w:val="24"/>
        </w:rPr>
        <w:t xml:space="preserve">Social justice and/or diversity/equity/inclusion learning objective(s) </w:t>
      </w:r>
    </w:p>
    <w:p w14:paraId="48A6A071" w14:textId="1F6C8A38" w:rsidR="00E221E6" w:rsidRPr="00E221E6" w:rsidRDefault="00E221E6" w:rsidP="00E221E6">
      <w:pPr>
        <w:ind w:left="360"/>
        <w:rPr>
          <w:sz w:val="24"/>
          <w:szCs w:val="24"/>
        </w:rPr>
      </w:pPr>
      <w:r w:rsidRPr="00E221E6">
        <w:rPr>
          <w:sz w:val="24"/>
          <w:szCs w:val="24"/>
        </w:rPr>
        <w:t>1. Discuss conservation practice and effectiveness with an awareness of societal, cultural, economic, and political obstacles, and evaluate current conservation practice as weighed against future needs (</w:t>
      </w:r>
      <w:r>
        <w:rPr>
          <w:sz w:val="24"/>
          <w:szCs w:val="24"/>
        </w:rPr>
        <w:t>KCTCS).</w:t>
      </w:r>
    </w:p>
    <w:p w14:paraId="3B65DE40" w14:textId="2E8E67EF" w:rsidR="00E221E6" w:rsidRPr="00E221E6" w:rsidRDefault="00E221E6" w:rsidP="00E221E6">
      <w:pPr>
        <w:ind w:left="360"/>
        <w:rPr>
          <w:sz w:val="24"/>
          <w:szCs w:val="24"/>
        </w:rPr>
      </w:pPr>
      <w:r w:rsidRPr="00E221E6">
        <w:rPr>
          <w:sz w:val="24"/>
          <w:szCs w:val="24"/>
        </w:rPr>
        <w:t>2. Describe examples of how scientists’ backgrounds and biases can influence science and how science is enhanced through diversity (</w:t>
      </w:r>
      <w:r w:rsidR="008F1EB6">
        <w:rPr>
          <w:sz w:val="24"/>
          <w:szCs w:val="24"/>
        </w:rPr>
        <w:t>Clemmons et al. 2020</w:t>
      </w:r>
      <w:r w:rsidRPr="00E221E6">
        <w:rPr>
          <w:sz w:val="24"/>
          <w:szCs w:val="24"/>
        </w:rPr>
        <w:t>).</w:t>
      </w:r>
    </w:p>
    <w:p w14:paraId="4E0C16DD" w14:textId="10A02EE8" w:rsidR="00E221E6" w:rsidRPr="00E221E6" w:rsidRDefault="00E221E6" w:rsidP="00E221E6">
      <w:pPr>
        <w:ind w:left="360"/>
        <w:rPr>
          <w:sz w:val="24"/>
          <w:szCs w:val="24"/>
        </w:rPr>
      </w:pPr>
      <w:r w:rsidRPr="00E221E6">
        <w:rPr>
          <w:sz w:val="24"/>
          <w:szCs w:val="24"/>
        </w:rPr>
        <w:t>3. Identify and describe how systemic factors (e.g., socioeconomic, political) affect how and by whom science is conducted (</w:t>
      </w:r>
      <w:r w:rsidR="008F1EB6">
        <w:rPr>
          <w:sz w:val="24"/>
          <w:szCs w:val="24"/>
        </w:rPr>
        <w:t>Clemmons et al. 2020</w:t>
      </w:r>
      <w:r w:rsidRPr="00E221E6">
        <w:rPr>
          <w:sz w:val="24"/>
          <w:szCs w:val="24"/>
        </w:rPr>
        <w:t>).</w:t>
      </w:r>
    </w:p>
    <w:p w14:paraId="40D5FF6A" w14:textId="1449A993" w:rsidR="00E221E6" w:rsidRPr="00E221E6" w:rsidRDefault="00E221E6" w:rsidP="00E221E6">
      <w:pPr>
        <w:ind w:left="360"/>
        <w:rPr>
          <w:sz w:val="24"/>
          <w:szCs w:val="24"/>
        </w:rPr>
      </w:pPr>
      <w:r w:rsidRPr="00E221E6">
        <w:rPr>
          <w:sz w:val="24"/>
          <w:szCs w:val="24"/>
        </w:rPr>
        <w:t>4. Describe the roles scientists have in facilitating public understanding of science (</w:t>
      </w:r>
      <w:r w:rsidR="008F1EB6">
        <w:rPr>
          <w:sz w:val="24"/>
          <w:szCs w:val="24"/>
        </w:rPr>
        <w:t>Clemmons et al. 2020</w:t>
      </w:r>
      <w:r w:rsidRPr="00E221E6">
        <w:rPr>
          <w:sz w:val="24"/>
          <w:szCs w:val="24"/>
        </w:rPr>
        <w:t>).</w:t>
      </w:r>
    </w:p>
    <w:p w14:paraId="00000011" w14:textId="77777777" w:rsidR="00B013A2" w:rsidRDefault="00B013A2">
      <w:pPr>
        <w:rPr>
          <w:sz w:val="24"/>
          <w:szCs w:val="24"/>
        </w:rPr>
      </w:pPr>
    </w:p>
    <w:p w14:paraId="00000012" w14:textId="0F9E94F2" w:rsidR="00B013A2" w:rsidRDefault="00950ADB">
      <w:pPr>
        <w:rPr>
          <w:sz w:val="24"/>
          <w:szCs w:val="24"/>
        </w:rPr>
      </w:pPr>
      <w:r>
        <w:rPr>
          <w:b/>
          <w:sz w:val="28"/>
          <w:szCs w:val="28"/>
        </w:rPr>
        <w:t>Lesson sequence:</w:t>
      </w:r>
    </w:p>
    <w:p w14:paraId="00000013" w14:textId="503618EC" w:rsidR="00B013A2" w:rsidRDefault="003907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submit a one to two paragraph response to</w:t>
      </w:r>
      <w:r w:rsidR="00950ADB">
        <w:rPr>
          <w:sz w:val="24"/>
          <w:szCs w:val="24"/>
        </w:rPr>
        <w:t xml:space="preserve"> the “stereotypes prompt” and “relatability prompt”</w:t>
      </w:r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Schinske</w:t>
      </w:r>
      <w:proofErr w:type="spellEnd"/>
      <w:r>
        <w:rPr>
          <w:sz w:val="24"/>
          <w:szCs w:val="24"/>
        </w:rPr>
        <w:t xml:space="preserve"> et al.</w:t>
      </w:r>
      <w:r w:rsidR="00BC4D42">
        <w:rPr>
          <w:sz w:val="24"/>
          <w:szCs w:val="24"/>
        </w:rPr>
        <w:t xml:space="preserve"> (2016).</w:t>
      </w:r>
    </w:p>
    <w:p w14:paraId="00000014" w14:textId="77517324" w:rsidR="00B013A2" w:rsidRDefault="003907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read selected portions of Brown et al. (</w:t>
      </w:r>
      <w:r w:rsidR="00BC4D42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="00BC4D42">
        <w:rPr>
          <w:sz w:val="24"/>
          <w:szCs w:val="24"/>
        </w:rPr>
        <w:t>.</w:t>
      </w:r>
    </w:p>
    <w:p w14:paraId="00000015" w14:textId="4B679072" w:rsidR="00B013A2" w:rsidRDefault="003907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take a short quiz on content from Brown et al. (</w:t>
      </w:r>
      <w:r w:rsidR="00BC4D42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="00BC4D42">
        <w:rPr>
          <w:sz w:val="24"/>
          <w:szCs w:val="24"/>
        </w:rPr>
        <w:t>.</w:t>
      </w:r>
      <w:r w:rsidR="00950ADB">
        <w:rPr>
          <w:sz w:val="24"/>
          <w:szCs w:val="24"/>
        </w:rPr>
        <w:t xml:space="preserve"> See file “</w:t>
      </w:r>
      <w:bookmarkStart w:id="0" w:name="_Hlk71978486"/>
      <w:r w:rsidR="00950ADB">
        <w:rPr>
          <w:sz w:val="24"/>
          <w:szCs w:val="24"/>
        </w:rPr>
        <w:t>Sample Quiz for Scientist Spotlight Featuring Dr. Danielle Brown</w:t>
      </w:r>
      <w:bookmarkEnd w:id="0"/>
      <w:r w:rsidR="00950ADB">
        <w:rPr>
          <w:sz w:val="24"/>
          <w:szCs w:val="24"/>
        </w:rPr>
        <w:t>.”</w:t>
      </w:r>
    </w:p>
    <w:p w14:paraId="00000016" w14:textId="5899F2FE" w:rsidR="00B013A2" w:rsidRDefault="003907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view the recorded interview with Dr. Danielle Brown</w:t>
      </w:r>
      <w:r w:rsidR="002D128D">
        <w:rPr>
          <w:sz w:val="24"/>
          <w:szCs w:val="24"/>
        </w:rPr>
        <w:t xml:space="preserve">. </w:t>
      </w:r>
      <w:r w:rsidR="00A84EEE">
        <w:rPr>
          <w:sz w:val="24"/>
          <w:szCs w:val="24"/>
        </w:rPr>
        <w:t xml:space="preserve">See “External Link(s)” section within this Resource. </w:t>
      </w:r>
    </w:p>
    <w:p w14:paraId="7E2B5F01" w14:textId="3BD9B1AE" w:rsidR="002D128D" w:rsidRPr="002D128D" w:rsidRDefault="002D128D" w:rsidP="002D128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3907B3" w:rsidRPr="002D128D">
        <w:rPr>
          <w:sz w:val="24"/>
          <w:szCs w:val="24"/>
        </w:rPr>
        <w:t xml:space="preserve">will submit a one to two paragraph response to prompts from </w:t>
      </w:r>
      <w:proofErr w:type="spellStart"/>
      <w:r w:rsidR="003907B3" w:rsidRPr="002D128D">
        <w:rPr>
          <w:sz w:val="24"/>
          <w:szCs w:val="24"/>
        </w:rPr>
        <w:t>Schinske</w:t>
      </w:r>
      <w:proofErr w:type="spellEnd"/>
      <w:r w:rsidR="003907B3" w:rsidRPr="002D128D">
        <w:rPr>
          <w:sz w:val="24"/>
          <w:szCs w:val="24"/>
        </w:rPr>
        <w:t xml:space="preserve"> et al.</w:t>
      </w:r>
      <w:r w:rsidR="00BC4D42" w:rsidRPr="002D128D">
        <w:rPr>
          <w:sz w:val="24"/>
          <w:szCs w:val="24"/>
        </w:rPr>
        <w:t xml:space="preserve"> (2016) </w:t>
      </w:r>
      <w:r w:rsidR="003907B3" w:rsidRPr="002D128D">
        <w:rPr>
          <w:sz w:val="24"/>
          <w:szCs w:val="24"/>
        </w:rPr>
        <w:t>and reflect on their interpretation of the figure from Brown et al. (</w:t>
      </w:r>
      <w:r w:rsidR="00BC4D42" w:rsidRPr="002D128D">
        <w:rPr>
          <w:sz w:val="24"/>
          <w:szCs w:val="24"/>
        </w:rPr>
        <w:t>2013</w:t>
      </w:r>
      <w:r w:rsidR="003907B3" w:rsidRPr="002D128D">
        <w:rPr>
          <w:sz w:val="24"/>
          <w:szCs w:val="24"/>
        </w:rPr>
        <w:t>)</w:t>
      </w:r>
      <w:r w:rsidR="00BC4D42" w:rsidRPr="002D128D">
        <w:rPr>
          <w:sz w:val="24"/>
          <w:szCs w:val="24"/>
        </w:rPr>
        <w:t>.</w:t>
      </w:r>
      <w:r w:rsidRPr="002D128D">
        <w:rPr>
          <w:sz w:val="24"/>
          <w:szCs w:val="24"/>
        </w:rPr>
        <w:t xml:space="preserve"> See file “Sample Assignment to Follow Student Viewing of Interview with Dr. Danielle Brown.”</w:t>
      </w:r>
    </w:p>
    <w:p w14:paraId="0000001C" w14:textId="77777777" w:rsidR="00B013A2" w:rsidRDefault="00B013A2">
      <w:pPr>
        <w:rPr>
          <w:sz w:val="24"/>
          <w:szCs w:val="24"/>
        </w:rPr>
      </w:pPr>
    </w:p>
    <w:p w14:paraId="34EA6FAE" w14:textId="444F4009" w:rsidR="00B71C0A" w:rsidRDefault="00950AD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Implementation notes: </w:t>
      </w:r>
      <w:r w:rsidR="003907B3">
        <w:rPr>
          <w:sz w:val="24"/>
          <w:szCs w:val="24"/>
        </w:rPr>
        <w:t xml:space="preserve">When this lesson was implemented in an online course during the Spring 2021 semester, I did not include any pre-lesson preparation for students. It may be helpful to incorporate discussions of diversity and inclusion in science prior to lesson implementation. </w:t>
      </w:r>
      <w:r w:rsidR="002D128D">
        <w:rPr>
          <w:sz w:val="24"/>
          <w:szCs w:val="24"/>
        </w:rPr>
        <w:t>I did not construct formal grading rubrics for student written responses; students were informed that their responses would be graded based on completion, fully addressing all questions, and proper writing mechanics. It is suggested that a grading rubric be provided to students</w:t>
      </w:r>
      <w:r w:rsidR="00A84EEE">
        <w:rPr>
          <w:sz w:val="24"/>
          <w:szCs w:val="24"/>
        </w:rPr>
        <w:t xml:space="preserve"> based on the instructor’s expectations. </w:t>
      </w:r>
    </w:p>
    <w:p w14:paraId="18E02A84" w14:textId="77777777" w:rsidR="00B71C0A" w:rsidRDefault="00B71C0A">
      <w:pPr>
        <w:rPr>
          <w:sz w:val="24"/>
          <w:szCs w:val="24"/>
        </w:rPr>
      </w:pPr>
    </w:p>
    <w:p w14:paraId="0000001F" w14:textId="32AFAF2D" w:rsidR="00B013A2" w:rsidRDefault="00950AD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References and additional resources: </w:t>
      </w:r>
    </w:p>
    <w:p w14:paraId="464D24BF" w14:textId="544EE0CB" w:rsidR="00E221E6" w:rsidRDefault="00E221E6">
      <w:pPr>
        <w:rPr>
          <w:sz w:val="24"/>
          <w:szCs w:val="24"/>
        </w:rPr>
      </w:pPr>
    </w:p>
    <w:p w14:paraId="2CAFDE35" w14:textId="6A2DFDAB" w:rsidR="00BC4D42" w:rsidRDefault="00BC4D42" w:rsidP="00BC4D42">
      <w:pPr>
        <w:rPr>
          <w:color w:val="333333"/>
          <w:shd w:val="clear" w:color="auto" w:fill="FFFFFF"/>
        </w:rPr>
      </w:pPr>
      <w:bookmarkStart w:id="1" w:name="_Hlk71982248"/>
      <w:r w:rsidRPr="003A4D06">
        <w:rPr>
          <w:color w:val="333333"/>
          <w:shd w:val="clear" w:color="auto" w:fill="FFFFFF"/>
        </w:rPr>
        <w:t xml:space="preserve">Brown, D.D., Kays, R., </w:t>
      </w:r>
      <w:proofErr w:type="spellStart"/>
      <w:r w:rsidRPr="003A4D06">
        <w:rPr>
          <w:color w:val="333333"/>
          <w:shd w:val="clear" w:color="auto" w:fill="FFFFFF"/>
        </w:rPr>
        <w:t>Wikelski</w:t>
      </w:r>
      <w:proofErr w:type="spellEnd"/>
      <w:r w:rsidRPr="003A4D06">
        <w:rPr>
          <w:color w:val="333333"/>
          <w:shd w:val="clear" w:color="auto" w:fill="FFFFFF"/>
        </w:rPr>
        <w:t>, M.</w:t>
      </w:r>
      <w:r>
        <w:rPr>
          <w:color w:val="333333"/>
          <w:shd w:val="clear" w:color="auto" w:fill="FFFFFF"/>
        </w:rPr>
        <w:t xml:space="preserve">, Wilson, R., &amp; </w:t>
      </w:r>
      <w:proofErr w:type="spellStart"/>
      <w:r>
        <w:rPr>
          <w:color w:val="333333"/>
          <w:shd w:val="clear" w:color="auto" w:fill="FFFFFF"/>
        </w:rPr>
        <w:t>Klimley</w:t>
      </w:r>
      <w:proofErr w:type="spellEnd"/>
      <w:r>
        <w:rPr>
          <w:color w:val="333333"/>
          <w:shd w:val="clear" w:color="auto" w:fill="FFFFFF"/>
        </w:rPr>
        <w:t xml:space="preserve">, A.P. (2013). </w:t>
      </w:r>
      <w:r w:rsidRPr="003A4D06">
        <w:rPr>
          <w:color w:val="333333"/>
          <w:shd w:val="clear" w:color="auto" w:fill="FFFFFF"/>
        </w:rPr>
        <w:t xml:space="preserve">Observing the </w:t>
      </w:r>
      <w:r>
        <w:rPr>
          <w:color w:val="333333"/>
          <w:shd w:val="clear" w:color="auto" w:fill="FFFFFF"/>
        </w:rPr>
        <w:t>U</w:t>
      </w:r>
      <w:r w:rsidRPr="003A4D06">
        <w:rPr>
          <w:color w:val="333333"/>
          <w:shd w:val="clear" w:color="auto" w:fill="FFFFFF"/>
        </w:rPr>
        <w:t xml:space="preserve">nwatchable </w:t>
      </w:r>
      <w:r>
        <w:rPr>
          <w:color w:val="333333"/>
          <w:shd w:val="clear" w:color="auto" w:fill="FFFFFF"/>
        </w:rPr>
        <w:t>T</w:t>
      </w:r>
      <w:r w:rsidRPr="003A4D06">
        <w:rPr>
          <w:color w:val="333333"/>
          <w:shd w:val="clear" w:color="auto" w:fill="FFFFFF"/>
        </w:rPr>
        <w:t xml:space="preserve">hrough </w:t>
      </w:r>
      <w:r>
        <w:rPr>
          <w:color w:val="333333"/>
          <w:shd w:val="clear" w:color="auto" w:fill="FFFFFF"/>
        </w:rPr>
        <w:t>A</w:t>
      </w:r>
      <w:r w:rsidRPr="003A4D06">
        <w:rPr>
          <w:color w:val="333333"/>
          <w:shd w:val="clear" w:color="auto" w:fill="FFFFFF"/>
        </w:rPr>
        <w:t xml:space="preserve">cceleration </w:t>
      </w:r>
      <w:r>
        <w:rPr>
          <w:color w:val="333333"/>
          <w:shd w:val="clear" w:color="auto" w:fill="FFFFFF"/>
        </w:rPr>
        <w:t>L</w:t>
      </w:r>
      <w:r w:rsidRPr="003A4D06">
        <w:rPr>
          <w:color w:val="333333"/>
          <w:shd w:val="clear" w:color="auto" w:fill="FFFFFF"/>
        </w:rPr>
        <w:t xml:space="preserve">ogging of </w:t>
      </w:r>
      <w:r>
        <w:rPr>
          <w:color w:val="333333"/>
          <w:shd w:val="clear" w:color="auto" w:fill="FFFFFF"/>
        </w:rPr>
        <w:t>A</w:t>
      </w:r>
      <w:r w:rsidRPr="003A4D06">
        <w:rPr>
          <w:color w:val="333333"/>
          <w:shd w:val="clear" w:color="auto" w:fill="FFFFFF"/>
        </w:rPr>
        <w:t xml:space="preserve">nimal </w:t>
      </w:r>
      <w:r>
        <w:rPr>
          <w:color w:val="333333"/>
          <w:shd w:val="clear" w:color="auto" w:fill="FFFFFF"/>
        </w:rPr>
        <w:t>B</w:t>
      </w:r>
      <w:r w:rsidRPr="003A4D06">
        <w:rPr>
          <w:color w:val="333333"/>
          <w:shd w:val="clear" w:color="auto" w:fill="FFFFFF"/>
        </w:rPr>
        <w:t>ehavior. </w:t>
      </w:r>
      <w:r w:rsidRPr="007A4BF9">
        <w:rPr>
          <w:i/>
          <w:iCs/>
          <w:color w:val="333333"/>
          <w:shd w:val="clear" w:color="auto" w:fill="FFFFFF"/>
        </w:rPr>
        <w:t>Animal Biotelemetry</w:t>
      </w:r>
      <w:r>
        <w:rPr>
          <w:color w:val="333333"/>
          <w:shd w:val="clear" w:color="auto" w:fill="FFFFFF"/>
        </w:rPr>
        <w:t xml:space="preserve"> </w:t>
      </w:r>
      <w:r w:rsidRPr="00D175EA">
        <w:rPr>
          <w:i/>
          <w:iCs/>
          <w:color w:val="333333"/>
          <w:shd w:val="clear" w:color="auto" w:fill="FFFFFF"/>
        </w:rPr>
        <w:t>1</w:t>
      </w:r>
      <w:r>
        <w:rPr>
          <w:color w:val="333333"/>
          <w:shd w:val="clear" w:color="auto" w:fill="FFFFFF"/>
        </w:rPr>
        <w:t>(1)</w:t>
      </w:r>
      <w:r>
        <w:rPr>
          <w:b/>
          <w:bCs/>
          <w:color w:val="333333"/>
          <w:shd w:val="clear" w:color="auto" w:fill="FFFFFF"/>
        </w:rPr>
        <w:t>.</w:t>
      </w:r>
      <w:r w:rsidRPr="003A4D06">
        <w:rPr>
          <w:color w:val="333333"/>
          <w:shd w:val="clear" w:color="auto" w:fill="FFFFFF"/>
        </w:rPr>
        <w:t xml:space="preserve"> </w:t>
      </w:r>
      <w:hyperlink r:id="rId5" w:history="1">
        <w:r w:rsidRPr="004F1B14">
          <w:rPr>
            <w:rStyle w:val="Hyperlink"/>
            <w:shd w:val="clear" w:color="auto" w:fill="FFFFFF"/>
          </w:rPr>
          <w:t>https://doi.org/10.1186/2050-3385-1-20</w:t>
        </w:r>
      </w:hyperlink>
    </w:p>
    <w:bookmarkEnd w:id="1"/>
    <w:p w14:paraId="0AFB7C42" w14:textId="77777777" w:rsidR="00BC4D42" w:rsidRDefault="00BC4D42" w:rsidP="007A4BF9">
      <w:pPr>
        <w:rPr>
          <w:rFonts w:ascii="Helvetica Neue" w:hAnsi="Helvetica Neue"/>
          <w:color w:val="2B2B2B"/>
        </w:rPr>
      </w:pPr>
    </w:p>
    <w:p w14:paraId="2C40311C" w14:textId="03450C74" w:rsidR="007A4BF9" w:rsidRDefault="00B71C0A" w:rsidP="007A4BF9">
      <w:r>
        <w:rPr>
          <w:rFonts w:ascii="Helvetica Neue" w:hAnsi="Helvetica Neue"/>
          <w:color w:val="2B2B2B"/>
        </w:rPr>
        <w:t xml:space="preserve">Clemmons, A., Timbrook, J., Herron, J., &amp; Crowe, A. </w:t>
      </w:r>
      <w:r w:rsidR="001C1195">
        <w:rPr>
          <w:rFonts w:ascii="Helvetica Neue" w:hAnsi="Helvetica Neue"/>
          <w:color w:val="2B2B2B"/>
        </w:rPr>
        <w:t>(2020).</w:t>
      </w:r>
    </w:p>
    <w:p w14:paraId="669DF838" w14:textId="3A674393" w:rsidR="00ED7DE3" w:rsidRDefault="00B91A90">
      <w:pPr>
        <w:rPr>
          <w:rStyle w:val="Hyperlink"/>
          <w:rFonts w:ascii="Helvetica Neue" w:hAnsi="Helvetica Neue"/>
          <w:color w:val="597F2F"/>
          <w:bdr w:val="none" w:sz="0" w:space="0" w:color="auto" w:frame="1"/>
        </w:rPr>
      </w:pPr>
      <w:hyperlink r:id="rId6" w:tgtFrame="_blank" w:history="1">
        <w:proofErr w:type="spellStart"/>
        <w:r w:rsidR="008F1EB6">
          <w:rPr>
            <w:rStyle w:val="Hyperlink"/>
            <w:rFonts w:ascii="Helvetica Neue" w:hAnsi="Helvetica Neue"/>
            <w:color w:val="597F2F"/>
            <w:bdr w:val="none" w:sz="0" w:space="0" w:color="auto" w:frame="1"/>
          </w:rPr>
          <w:t>BioSkills</w:t>
        </w:r>
        <w:proofErr w:type="spellEnd"/>
        <w:r w:rsidR="008F1EB6">
          <w:rPr>
            <w:rStyle w:val="Hyperlink"/>
            <w:rFonts w:ascii="Helvetica Neue" w:hAnsi="Helvetica Neue"/>
            <w:color w:val="597F2F"/>
            <w:bdr w:val="none" w:sz="0" w:space="0" w:color="auto" w:frame="1"/>
          </w:rPr>
          <w:t xml:space="preserve"> Guide</w:t>
        </w:r>
      </w:hyperlink>
      <w:r w:rsidR="008F1EB6">
        <w:rPr>
          <w:rFonts w:ascii="Helvetica Neue" w:hAnsi="Helvetica Neue"/>
          <w:color w:val="2B2B2B"/>
        </w:rPr>
        <w:t>. </w:t>
      </w:r>
      <w:hyperlink r:id="rId7" w:history="1">
        <w:r w:rsidR="008F1EB6">
          <w:rPr>
            <w:rStyle w:val="Hyperlink"/>
            <w:rFonts w:ascii="Helvetica Neue" w:hAnsi="Helvetica Neue"/>
            <w:color w:val="597F2F"/>
            <w:bdr w:val="none" w:sz="0" w:space="0" w:color="auto" w:frame="1"/>
          </w:rPr>
          <w:t>Core Competencies for Undergraduate Biology</w:t>
        </w:r>
      </w:hyperlink>
      <w:r w:rsidR="008F1EB6">
        <w:rPr>
          <w:rFonts w:ascii="Helvetica Neue" w:hAnsi="Helvetica Neue"/>
          <w:color w:val="2B2B2B"/>
        </w:rPr>
        <w:t>, (Version 5.0). QUBES Educational Resources. </w:t>
      </w:r>
      <w:hyperlink r:id="rId8" w:tgtFrame="_blank" w:history="1">
        <w:r w:rsidR="008F1EB6">
          <w:rPr>
            <w:rStyle w:val="Hyperlink"/>
            <w:rFonts w:ascii="Helvetica Neue" w:hAnsi="Helvetica Neue"/>
            <w:color w:val="597F2F"/>
            <w:bdr w:val="none" w:sz="0" w:space="0" w:color="auto" w:frame="1"/>
          </w:rPr>
          <w:t>doi:10.25334/156H-T617</w:t>
        </w:r>
      </w:hyperlink>
    </w:p>
    <w:p w14:paraId="7E021F4F" w14:textId="42CEB887" w:rsidR="00117168" w:rsidRDefault="00117168">
      <w:pPr>
        <w:rPr>
          <w:rStyle w:val="Hyperlink"/>
          <w:rFonts w:ascii="Helvetica Neue" w:hAnsi="Helvetica Neue"/>
          <w:color w:val="597F2F"/>
          <w:bdr w:val="none" w:sz="0" w:space="0" w:color="auto" w:frame="1"/>
        </w:rPr>
      </w:pPr>
    </w:p>
    <w:p w14:paraId="381819DF" w14:textId="235542F7" w:rsidR="00117168" w:rsidRDefault="00315F0F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KCTCS - </w:t>
      </w:r>
      <w:r w:rsidR="00117168">
        <w:rPr>
          <w:color w:val="333333"/>
          <w:shd w:val="clear" w:color="auto" w:fill="FFFFFF"/>
        </w:rPr>
        <w:t xml:space="preserve">Kentucky Community and Technical College System. (2004, December). BIO 122 Introduction to Conservation Biology 3 credits. Approved Courses/Curriculum (Final). </w:t>
      </w:r>
      <w:hyperlink r:id="rId9" w:history="1">
        <w:r w:rsidR="00687DC5" w:rsidRPr="004F1B14">
          <w:rPr>
            <w:rStyle w:val="Hyperlink"/>
            <w:shd w:val="clear" w:color="auto" w:fill="FFFFFF"/>
          </w:rPr>
          <w:t>https://kctcs.sharepoint.com/:w:/r/sites/AcademicLeadership/senate/_layouts/15/Doc.aspx?sourcedoc=%7B1933E1AC-5494-442A-B769-9F3858C62368%7D&amp;file=BIO%20122.doc&amp;action=default&amp;mobilere</w:t>
        </w:r>
        <w:r w:rsidR="00687DC5" w:rsidRPr="004F1B14">
          <w:rPr>
            <w:rStyle w:val="Hyperlink"/>
            <w:shd w:val="clear" w:color="auto" w:fill="FFFFFF"/>
          </w:rPr>
          <w:t>d</w:t>
        </w:r>
        <w:r w:rsidR="00687DC5" w:rsidRPr="004F1B14">
          <w:rPr>
            <w:rStyle w:val="Hyperlink"/>
            <w:shd w:val="clear" w:color="auto" w:fill="FFFFFF"/>
          </w:rPr>
          <w:t>irect=true</w:t>
        </w:r>
      </w:hyperlink>
    </w:p>
    <w:p w14:paraId="4241B52B" w14:textId="77777777" w:rsidR="00687DC5" w:rsidRDefault="00687DC5">
      <w:pPr>
        <w:rPr>
          <w:color w:val="333333"/>
          <w:shd w:val="clear" w:color="auto" w:fill="FFFFFF"/>
        </w:rPr>
      </w:pPr>
    </w:p>
    <w:p w14:paraId="7D76B5C1" w14:textId="0F89E4B8" w:rsidR="00307B8D" w:rsidRDefault="00D175EA">
      <w:pPr>
        <w:rPr>
          <w:rStyle w:val="Hyperlink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Schinske</w:t>
      </w:r>
      <w:proofErr w:type="spellEnd"/>
      <w:r>
        <w:rPr>
          <w:color w:val="333333"/>
          <w:shd w:val="clear" w:color="auto" w:fill="FFFFFF"/>
        </w:rPr>
        <w:t xml:space="preserve">, J.N., Perkins, H., Snyder, A., &amp; </w:t>
      </w:r>
      <w:proofErr w:type="spellStart"/>
      <w:r>
        <w:rPr>
          <w:color w:val="333333"/>
          <w:shd w:val="clear" w:color="auto" w:fill="FFFFFF"/>
        </w:rPr>
        <w:t>Wyer</w:t>
      </w:r>
      <w:proofErr w:type="spellEnd"/>
      <w:r>
        <w:rPr>
          <w:color w:val="333333"/>
          <w:shd w:val="clear" w:color="auto" w:fill="FFFFFF"/>
        </w:rPr>
        <w:t xml:space="preserve">, M. (2016). Scientist Spotlight Homework Assignments Shift Students’ Stereotypes of Scientists and Enhance Science Identity in a Diverse Introductory Science Class. </w:t>
      </w:r>
      <w:r w:rsidRPr="00307B8D">
        <w:rPr>
          <w:i/>
          <w:iCs/>
          <w:color w:val="333333"/>
          <w:shd w:val="clear" w:color="auto" w:fill="FFFFFF"/>
        </w:rPr>
        <w:t>CBE – Life Sciences Education 15</w:t>
      </w:r>
      <w:r>
        <w:rPr>
          <w:color w:val="333333"/>
          <w:shd w:val="clear" w:color="auto" w:fill="FFFFFF"/>
        </w:rPr>
        <w:t>(3)</w:t>
      </w:r>
      <w:r w:rsidR="00307B8D">
        <w:rPr>
          <w:color w:val="333333"/>
          <w:shd w:val="clear" w:color="auto" w:fill="FFFFFF"/>
        </w:rPr>
        <w:t xml:space="preserve">. </w:t>
      </w:r>
      <w:hyperlink r:id="rId10" w:history="1">
        <w:r w:rsidR="00307B8D" w:rsidRPr="004F1B14">
          <w:rPr>
            <w:rStyle w:val="Hyperlink"/>
            <w:shd w:val="clear" w:color="auto" w:fill="FFFFFF"/>
          </w:rPr>
          <w:t>https://doi.org/10.1187/cbe.16-01-0002</w:t>
        </w:r>
      </w:hyperlink>
    </w:p>
    <w:p w14:paraId="1C077020" w14:textId="64653671" w:rsidR="00117168" w:rsidRDefault="00117168">
      <w:pPr>
        <w:rPr>
          <w:rStyle w:val="Hyperlink"/>
          <w:shd w:val="clear" w:color="auto" w:fill="FFFFFF"/>
        </w:rPr>
      </w:pPr>
    </w:p>
    <w:p w14:paraId="19E67D72" w14:textId="77777777" w:rsidR="00117168" w:rsidRDefault="00117168">
      <w:pPr>
        <w:rPr>
          <w:color w:val="333333"/>
          <w:shd w:val="clear" w:color="auto" w:fill="FFFFFF"/>
        </w:rPr>
      </w:pPr>
    </w:p>
    <w:p w14:paraId="43706209" w14:textId="1F569336" w:rsidR="008F1EB6" w:rsidRDefault="008F1EB6">
      <w:pPr>
        <w:rPr>
          <w:color w:val="333333"/>
          <w:shd w:val="clear" w:color="auto" w:fill="FFFFFF"/>
        </w:rPr>
      </w:pPr>
    </w:p>
    <w:p w14:paraId="575A481F" w14:textId="77777777" w:rsidR="00BC4D42" w:rsidRDefault="00BC4D42">
      <w:pPr>
        <w:rPr>
          <w:color w:val="333333"/>
          <w:shd w:val="clear" w:color="auto" w:fill="FFFFFF"/>
        </w:rPr>
      </w:pPr>
    </w:p>
    <w:p w14:paraId="00000020" w14:textId="6C64E6A8" w:rsidR="00B013A2" w:rsidRDefault="00B013A2">
      <w:pPr>
        <w:rPr>
          <w:sz w:val="24"/>
          <w:szCs w:val="24"/>
        </w:rPr>
      </w:pPr>
    </w:p>
    <w:p w14:paraId="00000021" w14:textId="77777777" w:rsidR="00B013A2" w:rsidRDefault="00B013A2">
      <w:pPr>
        <w:rPr>
          <w:b/>
          <w:sz w:val="24"/>
          <w:szCs w:val="24"/>
        </w:rPr>
      </w:pPr>
    </w:p>
    <w:sectPr w:rsidR="00B013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50A1"/>
    <w:multiLevelType w:val="hybridMultilevel"/>
    <w:tmpl w:val="63E6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0DF0"/>
    <w:multiLevelType w:val="multilevel"/>
    <w:tmpl w:val="A3FC7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C675F5"/>
    <w:multiLevelType w:val="multilevel"/>
    <w:tmpl w:val="1C6C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35132"/>
    <w:multiLevelType w:val="hybridMultilevel"/>
    <w:tmpl w:val="5846FEA6"/>
    <w:lvl w:ilvl="0" w:tplc="E8D4D040">
      <w:start w:val="1"/>
      <w:numFmt w:val="decimal"/>
      <w:pStyle w:val="ListParagraph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8879AD"/>
    <w:multiLevelType w:val="multilevel"/>
    <w:tmpl w:val="F10A8D3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entury Schoolbook" w:hAnsi="Cambria" w:cs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2"/>
    <w:rsid w:val="00117168"/>
    <w:rsid w:val="001C1195"/>
    <w:rsid w:val="002D128D"/>
    <w:rsid w:val="00307B8D"/>
    <w:rsid w:val="00315F0F"/>
    <w:rsid w:val="003907B3"/>
    <w:rsid w:val="00553BD1"/>
    <w:rsid w:val="00687DC5"/>
    <w:rsid w:val="007A4BF9"/>
    <w:rsid w:val="008F1EB6"/>
    <w:rsid w:val="00950ADB"/>
    <w:rsid w:val="00992E25"/>
    <w:rsid w:val="00A84EEE"/>
    <w:rsid w:val="00B013A2"/>
    <w:rsid w:val="00B71C0A"/>
    <w:rsid w:val="00B91A90"/>
    <w:rsid w:val="00BC4D42"/>
    <w:rsid w:val="00D175EA"/>
    <w:rsid w:val="00E221E6"/>
    <w:rsid w:val="00E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3E86"/>
  <w15:docId w15:val="{37883256-9F1A-490C-8975-9924B6A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992E25"/>
    <w:rPr>
      <w:sz w:val="52"/>
      <w:szCs w:val="52"/>
    </w:rPr>
  </w:style>
  <w:style w:type="paragraph" w:styleId="ListParagraph">
    <w:name w:val="List Paragraph"/>
    <w:aliases w:val="List Numbered"/>
    <w:basedOn w:val="Normal"/>
    <w:uiPriority w:val="99"/>
    <w:qFormat/>
    <w:rsid w:val="00E221E6"/>
    <w:pPr>
      <w:numPr>
        <w:numId w:val="3"/>
      </w:numPr>
      <w:spacing w:after="240" w:line="240" w:lineRule="auto"/>
      <w:ind w:left="360"/>
      <w:contextualSpacing/>
    </w:pPr>
    <w:rPr>
      <w:rFonts w:ascii="Cambria" w:eastAsia="Century Schoolbook" w:hAnsi="Cambria" w:cs="Symbol"/>
      <w:szCs w:val="20"/>
      <w:lang w:val="en-US" w:eastAsia="ja-JP" w:bidi="he-IL"/>
    </w:rPr>
  </w:style>
  <w:style w:type="character" w:styleId="Hyperlink">
    <w:name w:val="Hyperlink"/>
    <w:basedOn w:val="DefaultParagraphFont"/>
    <w:uiPriority w:val="99"/>
    <w:unhideWhenUsed/>
    <w:rsid w:val="00ED7DE3"/>
    <w:rPr>
      <w:color w:val="0000FF" w:themeColor="hyperlink"/>
      <w:u w:val="single"/>
    </w:rPr>
  </w:style>
  <w:style w:type="character" w:customStyle="1" w:styleId="referencesnote">
    <w:name w:val="references__note"/>
    <w:basedOn w:val="DefaultParagraphFont"/>
    <w:rsid w:val="008F1EB6"/>
  </w:style>
  <w:style w:type="character" w:customStyle="1" w:styleId="referencesauthors">
    <w:name w:val="references__authors"/>
    <w:basedOn w:val="DefaultParagraphFont"/>
    <w:rsid w:val="008F1EB6"/>
  </w:style>
  <w:style w:type="character" w:customStyle="1" w:styleId="referencesyear">
    <w:name w:val="references__year"/>
    <w:basedOn w:val="DefaultParagraphFont"/>
    <w:rsid w:val="008F1EB6"/>
  </w:style>
  <w:style w:type="character" w:customStyle="1" w:styleId="referencesarticle-title">
    <w:name w:val="references__article-title"/>
    <w:basedOn w:val="DefaultParagraphFont"/>
    <w:rsid w:val="008F1EB6"/>
  </w:style>
  <w:style w:type="character" w:styleId="Strong">
    <w:name w:val="Strong"/>
    <w:basedOn w:val="DefaultParagraphFont"/>
    <w:uiPriority w:val="22"/>
    <w:qFormat/>
    <w:rsid w:val="008F1EB6"/>
    <w:rPr>
      <w:b/>
      <w:bCs/>
    </w:rPr>
  </w:style>
  <w:style w:type="character" w:customStyle="1" w:styleId="referencessuffix">
    <w:name w:val="references__suffix"/>
    <w:basedOn w:val="DefaultParagraphFont"/>
    <w:rsid w:val="008F1EB6"/>
  </w:style>
  <w:style w:type="character" w:styleId="FollowedHyperlink">
    <w:name w:val="FollowedHyperlink"/>
    <w:basedOn w:val="DefaultParagraphFont"/>
    <w:uiPriority w:val="99"/>
    <w:semiHidden/>
    <w:unhideWhenUsed/>
    <w:rsid w:val="007A4B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E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17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5334/156H-T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beshub.org/groups/bioskil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5334/156H-T6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186/2050-3385-1-20" TargetMode="External"/><Relationship Id="rId10" Type="http://schemas.openxmlformats.org/officeDocument/2006/relationships/hyperlink" Target="https://doi.org/10.1187/cbe.16-01-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ctcs.sharepoint.com/:w:/r/sites/AcademicLeadership/senate/_layouts/15/Doc.aspx?sourcedoc=%7B1933E1AC-5494-442A-B769-9F3858C62368%7D&amp;file=BIO%20122.doc&amp;action=default&amp;mobile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Merrie R (Southcentral)</dc:creator>
  <cp:lastModifiedBy>Richardson, Merrie R (Southcentral)</cp:lastModifiedBy>
  <cp:revision>4</cp:revision>
  <dcterms:created xsi:type="dcterms:W3CDTF">2021-05-15T18:43:00Z</dcterms:created>
  <dcterms:modified xsi:type="dcterms:W3CDTF">2021-05-15T23:04:00Z</dcterms:modified>
</cp:coreProperties>
</file>