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CC36" w14:textId="77777777" w:rsidR="0083713A" w:rsidRDefault="00E6046F">
      <w:pPr>
        <w:pBdr>
          <w:top w:val="nil"/>
          <w:left w:val="nil"/>
          <w:bottom w:val="nil"/>
          <w:right w:val="nil"/>
          <w:between w:val="nil"/>
        </w:pBdr>
        <w:rPr>
          <w:b/>
        </w:rPr>
      </w:pPr>
      <w:r>
        <w:rPr>
          <w:b/>
        </w:rPr>
        <w:t>Mutations affecting the function of hemoglobin</w:t>
      </w:r>
    </w:p>
    <w:p w14:paraId="7E26E01F" w14:textId="77777777" w:rsidR="0083713A" w:rsidRDefault="0083713A">
      <w:pPr>
        <w:pBdr>
          <w:top w:val="nil"/>
          <w:left w:val="nil"/>
          <w:bottom w:val="nil"/>
          <w:right w:val="nil"/>
          <w:between w:val="nil"/>
        </w:pBdr>
      </w:pPr>
    </w:p>
    <w:p w14:paraId="3471016B" w14:textId="4C1AE5CF" w:rsidR="0083713A" w:rsidRPr="00EB3682" w:rsidRDefault="00E6046F" w:rsidP="00EB3682">
      <w:pPr>
        <w:shd w:val="clear" w:color="auto" w:fill="D9D9D9" w:themeFill="background1" w:themeFillShade="D9"/>
        <w:rPr>
          <w:b/>
          <w:color w:val="000000" w:themeColor="text1"/>
        </w:rPr>
      </w:pPr>
      <w:r w:rsidRPr="00EB3682">
        <w:rPr>
          <w:b/>
          <w:color w:val="000000" w:themeColor="text1"/>
        </w:rPr>
        <w:t>Instructions:  Complete the worksheet (it is suggested to type in your answers in the provided spaces).  This is an INDIVIDUAL assignment.  Having access to your previous worksheet will facilitate this worksheet.</w:t>
      </w:r>
    </w:p>
    <w:p w14:paraId="6E503EF5" w14:textId="1240253F" w:rsidR="0083713A" w:rsidRDefault="0083713A">
      <w:pPr>
        <w:pBdr>
          <w:top w:val="nil"/>
          <w:left w:val="nil"/>
          <w:bottom w:val="nil"/>
          <w:right w:val="nil"/>
          <w:between w:val="nil"/>
        </w:pBdr>
      </w:pPr>
    </w:p>
    <w:p w14:paraId="41E18DDF" w14:textId="4D1671BE" w:rsidR="00BB4AC9" w:rsidRPr="00C34AC1" w:rsidRDefault="00BB4AC9" w:rsidP="00C34AC1">
      <w:pPr>
        <w:pBdr>
          <w:top w:val="single" w:sz="4" w:space="1" w:color="auto"/>
          <w:left w:val="single" w:sz="4" w:space="1" w:color="auto"/>
          <w:bottom w:val="single" w:sz="4" w:space="1" w:color="auto"/>
          <w:right w:val="single" w:sz="4" w:space="1" w:color="auto"/>
          <w:between w:val="nil"/>
        </w:pBdr>
        <w:rPr>
          <w:b/>
        </w:rPr>
      </w:pPr>
      <w:r w:rsidRPr="00C34AC1">
        <w:rPr>
          <w:b/>
        </w:rPr>
        <w:t xml:space="preserve">Learning </w:t>
      </w:r>
      <w:r w:rsidR="00C34AC1" w:rsidRPr="00C34AC1">
        <w:rPr>
          <w:b/>
        </w:rPr>
        <w:t>objectives</w:t>
      </w:r>
      <w:r w:rsidRPr="00C34AC1">
        <w:rPr>
          <w:b/>
        </w:rPr>
        <w:t>:</w:t>
      </w:r>
    </w:p>
    <w:p w14:paraId="55226CD4" w14:textId="034FD2CA" w:rsidR="00BB4AC9" w:rsidRDefault="00C34AC1" w:rsidP="00C34AC1">
      <w:pPr>
        <w:pBdr>
          <w:top w:val="single" w:sz="4" w:space="1" w:color="auto"/>
          <w:left w:val="single" w:sz="4" w:space="1" w:color="auto"/>
          <w:bottom w:val="single" w:sz="4" w:space="1" w:color="auto"/>
          <w:right w:val="single" w:sz="4" w:space="1" w:color="auto"/>
          <w:between w:val="nil"/>
        </w:pBdr>
      </w:pPr>
      <w:r>
        <w:t>At the end of this worksheet, students should be able to:</w:t>
      </w:r>
    </w:p>
    <w:p w14:paraId="28564DA6" w14:textId="164EF1B2" w:rsidR="00C34AC1" w:rsidRDefault="00667318"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Align and identify the amino acid and nucleic acid alterations in the sickle cell hemoglobin (</w:t>
      </w:r>
      <w:proofErr w:type="spellStart"/>
      <w:r>
        <w:t>HbS</w:t>
      </w:r>
      <w:proofErr w:type="spellEnd"/>
      <w:r>
        <w:t>) sequence</w:t>
      </w:r>
    </w:p>
    <w:p w14:paraId="6D9B0018" w14:textId="740B9C37" w:rsidR="00667318" w:rsidRDefault="00667318"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Perform Multiple Sequence Alignments (MSA) on protein and nucleic acid sequences</w:t>
      </w:r>
    </w:p>
    <w:p w14:paraId="7C74D13A" w14:textId="5D126CE0" w:rsidR="00667318" w:rsidRDefault="00501DF4" w:rsidP="00C34AC1">
      <w:pPr>
        <w:pStyle w:val="ListParagraph"/>
        <w:numPr>
          <w:ilvl w:val="0"/>
          <w:numId w:val="3"/>
        </w:numPr>
        <w:pBdr>
          <w:top w:val="single" w:sz="4" w:space="1" w:color="auto"/>
          <w:left w:val="single" w:sz="4" w:space="1" w:color="auto"/>
          <w:bottom w:val="single" w:sz="4" w:space="1" w:color="auto"/>
          <w:right w:val="single" w:sz="4" w:space="1" w:color="auto"/>
          <w:between w:val="nil"/>
        </w:pBdr>
        <w:ind w:left="360"/>
      </w:pPr>
      <w:r>
        <w:t>Interpret the nature of the sickle cell mutation</w:t>
      </w:r>
    </w:p>
    <w:p w14:paraId="491A1ED4" w14:textId="77777777" w:rsidR="00BB4AC9" w:rsidRDefault="00BB4AC9">
      <w:pPr>
        <w:pBdr>
          <w:top w:val="nil"/>
          <w:left w:val="nil"/>
          <w:bottom w:val="nil"/>
          <w:right w:val="nil"/>
          <w:between w:val="nil"/>
        </w:pBdr>
      </w:pPr>
    </w:p>
    <w:p w14:paraId="178C3C16" w14:textId="77777777" w:rsidR="0083713A" w:rsidRDefault="00E6046F">
      <w:pPr>
        <w:pBdr>
          <w:top w:val="nil"/>
          <w:left w:val="nil"/>
          <w:bottom w:val="nil"/>
          <w:right w:val="nil"/>
          <w:between w:val="nil"/>
        </w:pBdr>
      </w:pPr>
      <w:r>
        <w:t xml:space="preserve">About 7% of the world’s population carries one or more mutations involved in hemoglobin biosynthesis or function.  There are two basic classifications of hemoglobin mutants - </w:t>
      </w:r>
      <w:proofErr w:type="spellStart"/>
      <w:r>
        <w:t>thalassemias</w:t>
      </w:r>
      <w:proofErr w:type="spellEnd"/>
      <w:r>
        <w:t xml:space="preserve"> and hemoglobin variants.  </w:t>
      </w:r>
    </w:p>
    <w:p w14:paraId="79E9CDDD" w14:textId="77777777" w:rsidR="0083713A" w:rsidRDefault="0083713A">
      <w:pPr>
        <w:pBdr>
          <w:top w:val="nil"/>
          <w:left w:val="nil"/>
          <w:bottom w:val="nil"/>
          <w:right w:val="nil"/>
          <w:between w:val="nil"/>
        </w:pBdr>
      </w:pPr>
    </w:p>
    <w:p w14:paraId="198B8821" w14:textId="77777777" w:rsidR="0083713A" w:rsidRDefault="00E6046F">
      <w:pPr>
        <w:pBdr>
          <w:top w:val="nil"/>
          <w:left w:val="nil"/>
          <w:bottom w:val="nil"/>
          <w:right w:val="nil"/>
          <w:between w:val="nil"/>
        </w:pBdr>
      </w:pPr>
      <w:proofErr w:type="spellStart"/>
      <w:r>
        <w:rPr>
          <w:b/>
          <w:color w:val="0000FF"/>
        </w:rPr>
        <w:t>Thalassemias</w:t>
      </w:r>
      <w:proofErr w:type="spellEnd"/>
      <w:r>
        <w:t xml:space="preserve"> are characterized by an imbalance of globin synthesis, where the mature protein (consisting of four subunits, normally two α-globin and two ß-globin in adults), is composed of a different subset of polypeptides.  The functional hemoglobin protein is always composed of four subunits, but in </w:t>
      </w:r>
      <w:proofErr w:type="spellStart"/>
      <w:r>
        <w:t>thalassemias</w:t>
      </w:r>
      <w:proofErr w:type="spellEnd"/>
      <w:r>
        <w:t xml:space="preserve">, there may be 0, 1, 3, or 4 of either </w:t>
      </w:r>
      <w:proofErr w:type="gramStart"/>
      <w:r>
        <w:t>subunit</w:t>
      </w:r>
      <w:proofErr w:type="gramEnd"/>
      <w:r>
        <w:t xml:space="preserve"> (always being composed of four).  Because of the co-operativity of O</w:t>
      </w:r>
      <w:r>
        <w:rPr>
          <w:vertAlign w:val="subscript"/>
        </w:rPr>
        <w:t>2</w:t>
      </w:r>
      <w:r>
        <w:t xml:space="preserve"> binding in the subunits of the normal tetramer, changes in subunit balance affects the ability to bind O</w:t>
      </w:r>
      <w:r>
        <w:rPr>
          <w:vertAlign w:val="subscript"/>
        </w:rPr>
        <w:t>2</w:t>
      </w:r>
      <w:r>
        <w:t>.</w:t>
      </w:r>
    </w:p>
    <w:p w14:paraId="18F222BF" w14:textId="77777777" w:rsidR="0083713A" w:rsidRDefault="0083713A">
      <w:pPr>
        <w:pBdr>
          <w:top w:val="nil"/>
          <w:left w:val="nil"/>
          <w:bottom w:val="nil"/>
          <w:right w:val="nil"/>
          <w:between w:val="nil"/>
        </w:pBdr>
      </w:pPr>
    </w:p>
    <w:p w14:paraId="1C2BBB2D" w14:textId="77777777" w:rsidR="0083713A" w:rsidRDefault="00E6046F">
      <w:pPr>
        <w:pBdr>
          <w:top w:val="nil"/>
          <w:left w:val="nil"/>
          <w:bottom w:val="nil"/>
          <w:right w:val="nil"/>
          <w:between w:val="nil"/>
        </w:pBdr>
      </w:pPr>
      <w:r>
        <w:rPr>
          <w:b/>
          <w:color w:val="0000FF"/>
        </w:rPr>
        <w:t>Hemoglobin variants</w:t>
      </w:r>
      <w:r>
        <w:t xml:space="preserve"> are affected by a change in the amino acid sequence of a globin polypeptide. There are more than 400 known variants of hemoglobin - some have minimal effect on the function of the polypeptide and may go undetected throughout life, while others may have a significant effect on the function of hemoglobin.  Some mutations have been demonstrated to be lethal.  One mutation that affects the function of hemoglobin is the mutation causing sickle cell anemia.  </w:t>
      </w:r>
    </w:p>
    <w:p w14:paraId="54B87341" w14:textId="77777777" w:rsidR="0083713A" w:rsidRDefault="0083713A">
      <w:pPr>
        <w:pBdr>
          <w:top w:val="nil"/>
          <w:left w:val="nil"/>
          <w:bottom w:val="nil"/>
          <w:right w:val="nil"/>
          <w:between w:val="nil"/>
        </w:pBdr>
      </w:pPr>
    </w:p>
    <w:p w14:paraId="432A7083" w14:textId="77777777" w:rsidR="0083713A" w:rsidRDefault="00E6046F">
      <w:pPr>
        <w:pBdr>
          <w:top w:val="nil"/>
          <w:left w:val="nil"/>
          <w:bottom w:val="nil"/>
          <w:right w:val="nil"/>
          <w:between w:val="nil"/>
        </w:pBdr>
        <w:rPr>
          <w:b/>
        </w:rPr>
      </w:pPr>
      <w:r>
        <w:rPr>
          <w:b/>
          <w:color w:val="0000FF"/>
        </w:rPr>
        <w:t>Sickle cell anemia</w:t>
      </w:r>
      <w:r>
        <w:rPr>
          <w:b/>
        </w:rPr>
        <w:t xml:space="preserve"> </w:t>
      </w:r>
    </w:p>
    <w:p w14:paraId="4E2B1AA5" w14:textId="77777777" w:rsidR="0083713A" w:rsidRDefault="00E6046F">
      <w:pPr>
        <w:pBdr>
          <w:top w:val="nil"/>
          <w:left w:val="nil"/>
          <w:bottom w:val="nil"/>
          <w:right w:val="nil"/>
          <w:between w:val="nil"/>
        </w:pBdr>
      </w:pPr>
      <w:r>
        <w:t xml:space="preserve">The hemoglobin variant for sickle cell anemia is composed of two normal polypeptide subunits (one type of globin) and one (heterozygous) or two mutant (homozygous) versions of the second globin polypeptide.  These polypeptides are encoded by separate genes.  Sickle cell anemia is an autosomal recessive mutation.  The mutation occurs in about 1 in 400-600 African-Americans and is more common in parts of Africa.  Sickle cell disease is characterized by weakness, abdominal pain, and kidney and heart failure, with individuals especially affected during times of low oxygen.  In general, individuals that are heterozygous for the mutation only demonstrate these symptoms during severe low oxygen conditions.  The mutation also confers an increased resistance to malaria in heterozygous individuals, indicating a possible reason why the mutation has persisted in the population.  </w:t>
      </w:r>
    </w:p>
    <w:p w14:paraId="66AA099A" w14:textId="77777777" w:rsidR="0083713A" w:rsidRDefault="0083713A">
      <w:pPr>
        <w:pBdr>
          <w:top w:val="nil"/>
          <w:left w:val="nil"/>
          <w:bottom w:val="nil"/>
          <w:right w:val="nil"/>
          <w:between w:val="nil"/>
        </w:pBdr>
      </w:pPr>
    </w:p>
    <w:p w14:paraId="243F34BC" w14:textId="77777777" w:rsidR="0083713A" w:rsidRDefault="0083713A">
      <w:pPr>
        <w:pBdr>
          <w:top w:val="nil"/>
          <w:left w:val="nil"/>
          <w:bottom w:val="nil"/>
          <w:right w:val="nil"/>
          <w:between w:val="nil"/>
        </w:pBdr>
      </w:pPr>
    </w:p>
    <w:p w14:paraId="780F92D8" w14:textId="77777777" w:rsidR="0083713A" w:rsidRPr="00D23AE4" w:rsidRDefault="00E6046F" w:rsidP="00D23AE4">
      <w:pPr>
        <w:numPr>
          <w:ilvl w:val="0"/>
          <w:numId w:val="2"/>
        </w:numPr>
        <w:pBdr>
          <w:top w:val="nil"/>
          <w:left w:val="nil"/>
          <w:bottom w:val="nil"/>
          <w:right w:val="nil"/>
          <w:between w:val="nil"/>
        </w:pBdr>
        <w:ind w:left="0" w:firstLine="0"/>
        <w:rPr>
          <w:b/>
        </w:rPr>
      </w:pPr>
      <w:r w:rsidRPr="00D23AE4">
        <w:rPr>
          <w:b/>
        </w:rPr>
        <w:lastRenderedPageBreak/>
        <w:t>What is the nature of the mutation causing sickle cell anemia?</w:t>
      </w:r>
    </w:p>
    <w:p w14:paraId="088166CD" w14:textId="77777777" w:rsidR="0083713A" w:rsidRDefault="00E6046F" w:rsidP="00D23AE4">
      <w:pPr>
        <w:numPr>
          <w:ilvl w:val="1"/>
          <w:numId w:val="2"/>
        </w:numPr>
        <w:pBdr>
          <w:top w:val="nil"/>
          <w:left w:val="nil"/>
          <w:bottom w:val="nil"/>
          <w:right w:val="nil"/>
          <w:between w:val="nil"/>
        </w:pBdr>
        <w:ind w:left="720"/>
      </w:pPr>
      <w:r>
        <w:t>The sequence of the polypeptide affected by the sickle cell mutation is below:</w:t>
      </w:r>
    </w:p>
    <w:p w14:paraId="6751838A" w14:textId="77777777" w:rsidR="0083713A" w:rsidRDefault="0083713A">
      <w:pPr>
        <w:pBdr>
          <w:top w:val="nil"/>
          <w:left w:val="nil"/>
          <w:bottom w:val="nil"/>
          <w:right w:val="nil"/>
          <w:between w:val="nil"/>
        </w:pBdr>
        <w:ind w:left="720"/>
      </w:pPr>
    </w:p>
    <w:tbl>
      <w:tblPr>
        <w:tblStyle w:val="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0F7B8F4E" w14:textId="77777777">
        <w:tc>
          <w:tcPr>
            <w:tcW w:w="8640" w:type="dxa"/>
          </w:tcPr>
          <w:p w14:paraId="3D302065" w14:textId="77777777" w:rsidR="0083713A" w:rsidRDefault="00E6046F">
            <w:pPr>
              <w:widowControl w:val="0"/>
              <w:pBdr>
                <w:top w:val="nil"/>
                <w:left w:val="nil"/>
                <w:bottom w:val="nil"/>
                <w:right w:val="nil"/>
                <w:between w:val="nil"/>
              </w:pBdr>
              <w:spacing w:line="240" w:lineRule="auto"/>
            </w:pPr>
            <w:r>
              <w:t>&gt;</w:t>
            </w:r>
            <w:proofErr w:type="spellStart"/>
            <w:r>
              <w:t>HbS_polypeptide</w:t>
            </w:r>
            <w:proofErr w:type="spellEnd"/>
          </w:p>
          <w:p w14:paraId="7A57A5AB" w14:textId="77777777" w:rsidR="0083713A" w:rsidRDefault="00E6046F">
            <w:pPr>
              <w:widowControl w:val="0"/>
              <w:pBdr>
                <w:top w:val="nil"/>
                <w:left w:val="nil"/>
                <w:bottom w:val="nil"/>
                <w:right w:val="nil"/>
                <w:between w:val="nil"/>
              </w:pBdr>
              <w:spacing w:line="240" w:lineRule="auto"/>
            </w:pPr>
            <w:r>
              <w:rPr>
                <w:rFonts w:ascii="Courier New" w:eastAsia="Courier New" w:hAnsi="Courier New" w:cs="Courier New"/>
              </w:rPr>
              <w:t>MVHLTPVEKSAVTALWGKVNVDEVGGEALGRLLVVYPWTQRFFESFGDLSTPDAVMGNPK</w:t>
            </w:r>
            <w:r>
              <w:rPr>
                <w:rFonts w:ascii="Courier New" w:eastAsia="Courier New" w:hAnsi="Courier New" w:cs="Courier New"/>
              </w:rPr>
              <w:br/>
              <w:t>VKAHGKKVLGAFSDGLAHLDNLKGTFATLSELHCDKLHVDPENFRLLGNVLVCVLAHHFG</w:t>
            </w:r>
            <w:r>
              <w:rPr>
                <w:rFonts w:ascii="Courier New" w:eastAsia="Courier New" w:hAnsi="Courier New" w:cs="Courier New"/>
              </w:rPr>
              <w:br/>
              <w:t>KEFTPPVQAAYQKVVAGVANALAHKYH</w:t>
            </w:r>
          </w:p>
        </w:tc>
      </w:tr>
    </w:tbl>
    <w:p w14:paraId="12355252" w14:textId="77777777" w:rsidR="0083713A" w:rsidRDefault="0083713A">
      <w:pPr>
        <w:pBdr>
          <w:top w:val="nil"/>
          <w:left w:val="nil"/>
          <w:bottom w:val="nil"/>
          <w:right w:val="nil"/>
          <w:between w:val="nil"/>
        </w:pBdr>
        <w:ind w:left="720"/>
      </w:pPr>
    </w:p>
    <w:p w14:paraId="22A3C2FF" w14:textId="6EB8A638" w:rsidR="0083713A" w:rsidRDefault="00E6046F" w:rsidP="00D23AE4">
      <w:pPr>
        <w:numPr>
          <w:ilvl w:val="2"/>
          <w:numId w:val="2"/>
        </w:numPr>
        <w:pBdr>
          <w:top w:val="nil"/>
          <w:left w:val="nil"/>
          <w:bottom w:val="nil"/>
          <w:right w:val="nil"/>
          <w:between w:val="nil"/>
        </w:pBdr>
        <w:ind w:left="1080"/>
      </w:pPr>
      <w:r>
        <w:t xml:space="preserve">The </w:t>
      </w:r>
      <w:proofErr w:type="spellStart"/>
      <w:r>
        <w:t>HbS</w:t>
      </w:r>
      <w:proofErr w:type="spellEnd"/>
      <w:r>
        <w:t xml:space="preserve"> designation is the provided name for the encoded polypeptide sequence of the sickle cell allele.  </w:t>
      </w:r>
      <w:r>
        <w:rPr>
          <w:i/>
        </w:rPr>
        <w:t>Previously</w:t>
      </w:r>
      <w:r w:rsidR="00667318">
        <w:rPr>
          <w:i/>
        </w:rPr>
        <w:t xml:space="preserve"> (worksheet 1)</w:t>
      </w:r>
      <w:r>
        <w:rPr>
          <w:i/>
        </w:rPr>
        <w:t xml:space="preserve"> you identified HbA1 and </w:t>
      </w:r>
      <w:proofErr w:type="spellStart"/>
      <w:r>
        <w:rPr>
          <w:i/>
        </w:rPr>
        <w:t>HbB</w:t>
      </w:r>
      <w:proofErr w:type="spellEnd"/>
      <w:r>
        <w:rPr>
          <w:i/>
        </w:rPr>
        <w:t>.</w:t>
      </w:r>
    </w:p>
    <w:p w14:paraId="7F7C74BE" w14:textId="77777777" w:rsidR="0083713A" w:rsidRDefault="00E6046F" w:rsidP="00D23AE4">
      <w:pPr>
        <w:numPr>
          <w:ilvl w:val="1"/>
          <w:numId w:val="2"/>
        </w:numPr>
        <w:pBdr>
          <w:top w:val="nil"/>
          <w:left w:val="nil"/>
          <w:bottom w:val="nil"/>
          <w:right w:val="nil"/>
          <w:between w:val="nil"/>
        </w:pBdr>
        <w:ind w:left="720"/>
      </w:pPr>
      <w:r>
        <w:t xml:space="preserve">Compare the polypeptide sequences for HbA1, </w:t>
      </w:r>
      <w:proofErr w:type="spellStart"/>
      <w:r>
        <w:t>HbB</w:t>
      </w:r>
      <w:proofErr w:type="spellEnd"/>
      <w:r>
        <w:t xml:space="preserve"> (from worksheet 1) and </w:t>
      </w:r>
      <w:proofErr w:type="spellStart"/>
      <w:r>
        <w:t>HbS</w:t>
      </w:r>
      <w:proofErr w:type="spellEnd"/>
      <w:r>
        <w:t xml:space="preserve"> using the </w:t>
      </w:r>
      <w:proofErr w:type="spellStart"/>
      <w:r>
        <w:t>ClustalOmega</w:t>
      </w:r>
      <w:proofErr w:type="spellEnd"/>
      <w:r>
        <w:t xml:space="preserve"> program (http://www.ebi.ac.uk/Tools/msa/clustalo/).  </w:t>
      </w:r>
    </w:p>
    <w:p w14:paraId="6497A17F" w14:textId="77777777" w:rsidR="0083713A" w:rsidRDefault="00E6046F" w:rsidP="00D23AE4">
      <w:pPr>
        <w:numPr>
          <w:ilvl w:val="2"/>
          <w:numId w:val="2"/>
        </w:numPr>
        <w:pBdr>
          <w:top w:val="nil"/>
          <w:left w:val="nil"/>
          <w:bottom w:val="nil"/>
          <w:right w:val="nil"/>
          <w:between w:val="nil"/>
        </w:pBdr>
        <w:ind w:left="1080"/>
      </w:pPr>
      <w:r>
        <w:t>Copy and paste the resulting aligned sequences below as previously done (reformat if necessary).</w:t>
      </w:r>
    </w:p>
    <w:p w14:paraId="281B645F" w14:textId="77777777" w:rsidR="0083713A" w:rsidRDefault="0083713A">
      <w:pPr>
        <w:pBdr>
          <w:top w:val="nil"/>
          <w:left w:val="nil"/>
          <w:bottom w:val="nil"/>
          <w:right w:val="nil"/>
          <w:between w:val="nil"/>
        </w:pBdr>
        <w:ind w:left="1440"/>
      </w:pPr>
    </w:p>
    <w:tbl>
      <w:tblPr>
        <w:tblStyle w:val="a0"/>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4AC4794A" w14:textId="77777777">
        <w:tc>
          <w:tcPr>
            <w:tcW w:w="8640" w:type="dxa"/>
          </w:tcPr>
          <w:p w14:paraId="3DE6652E" w14:textId="356D524D" w:rsidR="0083713A" w:rsidRPr="002D083E" w:rsidRDefault="0083713A">
            <w:pPr>
              <w:widowControl w:val="0"/>
              <w:pBdr>
                <w:top w:val="nil"/>
                <w:left w:val="nil"/>
                <w:bottom w:val="nil"/>
                <w:right w:val="nil"/>
                <w:between w:val="nil"/>
              </w:pBdr>
              <w:spacing w:line="240" w:lineRule="auto"/>
              <w:rPr>
                <w:rFonts w:ascii="Cambria" w:eastAsia="Courier New" w:hAnsi="Cambria" w:cs="Courier New"/>
                <w:sz w:val="24"/>
                <w:szCs w:val="24"/>
              </w:rPr>
            </w:pPr>
          </w:p>
        </w:tc>
      </w:tr>
    </w:tbl>
    <w:p w14:paraId="6E6DF514" w14:textId="77777777" w:rsidR="0083713A" w:rsidRDefault="0083713A">
      <w:pPr>
        <w:pBdr>
          <w:top w:val="nil"/>
          <w:left w:val="nil"/>
          <w:bottom w:val="nil"/>
          <w:right w:val="nil"/>
          <w:between w:val="nil"/>
        </w:pBdr>
        <w:ind w:left="1440"/>
        <w:rPr>
          <w:rFonts w:ascii="Courier New" w:eastAsia="Courier New" w:hAnsi="Courier New" w:cs="Courier New"/>
          <w:color w:val="FF0000"/>
          <w:sz w:val="16"/>
          <w:szCs w:val="16"/>
        </w:rPr>
      </w:pPr>
    </w:p>
    <w:tbl>
      <w:tblPr>
        <w:tblStyle w:val="a1"/>
        <w:tblW w:w="855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1995"/>
      </w:tblGrid>
      <w:tr w:rsidR="0083713A" w14:paraId="016559A8" w14:textId="77777777" w:rsidTr="00D23AE4">
        <w:tc>
          <w:tcPr>
            <w:tcW w:w="6555" w:type="dxa"/>
            <w:shd w:val="clear" w:color="auto" w:fill="auto"/>
            <w:tcMar>
              <w:top w:w="100" w:type="dxa"/>
              <w:left w:w="100" w:type="dxa"/>
              <w:bottom w:w="100" w:type="dxa"/>
              <w:right w:w="100" w:type="dxa"/>
            </w:tcMar>
          </w:tcPr>
          <w:p w14:paraId="0B60015F" w14:textId="3EB75ED8" w:rsidR="0083713A" w:rsidRDefault="00E6046F" w:rsidP="002D083E">
            <w:pPr>
              <w:widowControl w:val="0"/>
              <w:pBdr>
                <w:top w:val="nil"/>
                <w:left w:val="nil"/>
                <w:bottom w:val="nil"/>
                <w:right w:val="nil"/>
                <w:between w:val="nil"/>
              </w:pBdr>
              <w:spacing w:line="240" w:lineRule="auto"/>
            </w:pPr>
            <w:r>
              <w:t xml:space="preserve">Which polypeptide (HbA1 or </w:t>
            </w:r>
            <w:proofErr w:type="spellStart"/>
            <w:r>
              <w:t>HbB</w:t>
            </w:r>
            <w:proofErr w:type="spellEnd"/>
            <w:r>
              <w:t xml:space="preserve">) looks most like the </w:t>
            </w:r>
            <w:proofErr w:type="spellStart"/>
            <w:r>
              <w:t>HbS</w:t>
            </w:r>
            <w:proofErr w:type="spellEnd"/>
            <w:r>
              <w:t xml:space="preserve"> polypeptide sequence?</w:t>
            </w:r>
          </w:p>
        </w:tc>
        <w:tc>
          <w:tcPr>
            <w:tcW w:w="1995" w:type="dxa"/>
            <w:shd w:val="clear" w:color="auto" w:fill="auto"/>
            <w:tcMar>
              <w:top w:w="100" w:type="dxa"/>
              <w:left w:w="100" w:type="dxa"/>
              <w:bottom w:w="100" w:type="dxa"/>
              <w:right w:w="100" w:type="dxa"/>
            </w:tcMar>
          </w:tcPr>
          <w:p w14:paraId="7D214BC9" w14:textId="3DFB24E5" w:rsidR="0083713A" w:rsidRPr="00474863" w:rsidRDefault="0083713A" w:rsidP="00474863"/>
        </w:tc>
      </w:tr>
      <w:tr w:rsidR="0083713A" w14:paraId="771D5DA0" w14:textId="77777777" w:rsidTr="00D23AE4">
        <w:tc>
          <w:tcPr>
            <w:tcW w:w="6555" w:type="dxa"/>
            <w:shd w:val="clear" w:color="auto" w:fill="auto"/>
            <w:tcMar>
              <w:top w:w="100" w:type="dxa"/>
              <w:left w:w="100" w:type="dxa"/>
              <w:bottom w:w="100" w:type="dxa"/>
              <w:right w:w="100" w:type="dxa"/>
            </w:tcMar>
          </w:tcPr>
          <w:p w14:paraId="282D2A6B" w14:textId="1B484623" w:rsidR="0083713A" w:rsidRDefault="00E6046F">
            <w:pPr>
              <w:widowControl w:val="0"/>
              <w:pBdr>
                <w:top w:val="nil"/>
                <w:left w:val="nil"/>
                <w:bottom w:val="nil"/>
                <w:right w:val="nil"/>
                <w:between w:val="nil"/>
              </w:pBdr>
              <w:spacing w:line="240" w:lineRule="auto"/>
              <w:rPr>
                <w:i/>
              </w:rPr>
            </w:pPr>
            <w:r>
              <w:t xml:space="preserve">What is the amino acid difference between </w:t>
            </w:r>
            <w:proofErr w:type="spellStart"/>
            <w:r>
              <w:t>HbS</w:t>
            </w:r>
            <w:proofErr w:type="spellEnd"/>
            <w:r>
              <w:t xml:space="preserve"> and the most similar globin polypeptide?</w:t>
            </w:r>
            <w:r>
              <w:rPr>
                <w:vertAlign w:val="superscript"/>
              </w:rPr>
              <w:footnoteReference w:id="1"/>
            </w:r>
            <w:r>
              <w:t xml:space="preserve">   </w:t>
            </w:r>
          </w:p>
        </w:tc>
        <w:tc>
          <w:tcPr>
            <w:tcW w:w="1995" w:type="dxa"/>
            <w:shd w:val="clear" w:color="auto" w:fill="auto"/>
            <w:tcMar>
              <w:top w:w="100" w:type="dxa"/>
              <w:left w:w="100" w:type="dxa"/>
              <w:bottom w:w="100" w:type="dxa"/>
              <w:right w:w="100" w:type="dxa"/>
            </w:tcMar>
          </w:tcPr>
          <w:p w14:paraId="67C1210A" w14:textId="66C3459F" w:rsidR="0083713A" w:rsidRPr="00474863" w:rsidRDefault="0083713A" w:rsidP="00474863"/>
        </w:tc>
      </w:tr>
    </w:tbl>
    <w:p w14:paraId="3C9DB551" w14:textId="000D96BA" w:rsidR="0083713A" w:rsidRDefault="00667318" w:rsidP="00D23AE4">
      <w:pPr>
        <w:pBdr>
          <w:top w:val="nil"/>
          <w:left w:val="nil"/>
          <w:bottom w:val="nil"/>
          <w:right w:val="nil"/>
          <w:between w:val="nil"/>
        </w:pBdr>
        <w:ind w:left="1080"/>
        <w:rPr>
          <w:i/>
        </w:rPr>
      </w:pPr>
      <w:r>
        <w:rPr>
          <w:i/>
        </w:rPr>
        <w:t>In hemoglobin, the N-terminal methionine is commonly removed from the polypeptide, so the position of the amino acid mutation is often listed as one amino acid position shorter than the translated coding sequence.</w:t>
      </w:r>
    </w:p>
    <w:p w14:paraId="31268281" w14:textId="77777777" w:rsidR="00571305" w:rsidRPr="00667318" w:rsidRDefault="00571305" w:rsidP="00667318">
      <w:pPr>
        <w:pBdr>
          <w:top w:val="nil"/>
          <w:left w:val="nil"/>
          <w:bottom w:val="nil"/>
          <w:right w:val="nil"/>
          <w:between w:val="nil"/>
        </w:pBdr>
        <w:ind w:left="1530"/>
        <w:rPr>
          <w:i/>
        </w:rPr>
      </w:pPr>
    </w:p>
    <w:p w14:paraId="0941B760" w14:textId="23272E43" w:rsidR="0083713A" w:rsidRDefault="00571305" w:rsidP="00571305">
      <w:pPr>
        <w:pBdr>
          <w:top w:val="single" w:sz="4" w:space="1" w:color="auto"/>
          <w:left w:val="single" w:sz="4" w:space="1" w:color="auto"/>
          <w:bottom w:val="single" w:sz="4" w:space="1" w:color="auto"/>
          <w:right w:val="single" w:sz="4" w:space="1" w:color="auto"/>
        </w:pBdr>
        <w:shd w:val="clear" w:color="auto" w:fill="D9D9D9" w:themeFill="background1" w:themeFillShade="D9"/>
        <w:ind w:left="720"/>
      </w:pPr>
      <w:r>
        <w:t xml:space="preserve">Box:  </w:t>
      </w:r>
      <w:r>
        <w:rPr>
          <w:i/>
        </w:rPr>
        <w:t>Amino acid changes are indicated as the single amino acid letter of the ‘wild-type’ version followed by the number representing the amino acid in the chain and the ‘mutant’ amino acid.  For example, if the second amino acid is changes from valine (V) to histidine (H), this would be written as V2H.</w:t>
      </w:r>
    </w:p>
    <w:p w14:paraId="39249446" w14:textId="77777777" w:rsidR="0083713A" w:rsidRDefault="00E6046F">
      <w:pPr>
        <w:pBdr>
          <w:top w:val="nil"/>
          <w:left w:val="nil"/>
          <w:bottom w:val="nil"/>
          <w:right w:val="nil"/>
          <w:between w:val="nil"/>
        </w:pBdr>
        <w:ind w:left="720"/>
      </w:pPr>
      <w:r>
        <w:br w:type="page"/>
      </w:r>
    </w:p>
    <w:p w14:paraId="4B591653" w14:textId="77777777" w:rsidR="0083713A" w:rsidRDefault="00E6046F" w:rsidP="00D23AE4">
      <w:pPr>
        <w:numPr>
          <w:ilvl w:val="1"/>
          <w:numId w:val="2"/>
        </w:numPr>
        <w:pBdr>
          <w:top w:val="nil"/>
          <w:left w:val="nil"/>
          <w:bottom w:val="nil"/>
          <w:right w:val="nil"/>
          <w:between w:val="nil"/>
        </w:pBdr>
        <w:ind w:left="720"/>
      </w:pPr>
      <w:r>
        <w:lastRenderedPageBreak/>
        <w:t>What is the corresponding DNA base change in the coding sequence?</w:t>
      </w:r>
    </w:p>
    <w:p w14:paraId="33BA4046" w14:textId="77777777" w:rsidR="0083713A" w:rsidRDefault="00E6046F" w:rsidP="00D23AE4">
      <w:pPr>
        <w:numPr>
          <w:ilvl w:val="2"/>
          <w:numId w:val="2"/>
        </w:numPr>
        <w:pBdr>
          <w:top w:val="nil"/>
          <w:left w:val="nil"/>
          <w:bottom w:val="nil"/>
          <w:right w:val="nil"/>
          <w:between w:val="nil"/>
        </w:pBdr>
        <w:ind w:left="1080"/>
      </w:pPr>
      <w:r>
        <w:t xml:space="preserve">Using the </w:t>
      </w:r>
      <w:proofErr w:type="spellStart"/>
      <w:r>
        <w:t>HbS</w:t>
      </w:r>
      <w:proofErr w:type="spellEnd"/>
      <w:r>
        <w:t xml:space="preserve"> mRNA sequence below, determine the nature of the nucleotide base change in </w:t>
      </w:r>
      <w:proofErr w:type="spellStart"/>
      <w:r>
        <w:t>HbS</w:t>
      </w:r>
      <w:proofErr w:type="spellEnd"/>
      <w:r>
        <w:t xml:space="preserve"> compared with the corresponding ‘wild-type’ globin mRNA sequence.</w:t>
      </w:r>
    </w:p>
    <w:p w14:paraId="0B409A45" w14:textId="77777777" w:rsidR="0083713A" w:rsidRDefault="0083713A">
      <w:pPr>
        <w:pBdr>
          <w:top w:val="nil"/>
          <w:left w:val="nil"/>
          <w:bottom w:val="nil"/>
          <w:right w:val="nil"/>
          <w:between w:val="nil"/>
        </w:pBdr>
        <w:ind w:left="720"/>
      </w:pPr>
    </w:p>
    <w:tbl>
      <w:tblPr>
        <w:tblStyle w:val="a2"/>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83713A" w14:paraId="7269A00E" w14:textId="77777777">
        <w:tc>
          <w:tcPr>
            <w:tcW w:w="8640" w:type="dxa"/>
            <w:shd w:val="clear" w:color="auto" w:fill="auto"/>
            <w:tcMar>
              <w:top w:w="100" w:type="dxa"/>
              <w:left w:w="100" w:type="dxa"/>
              <w:bottom w:w="100" w:type="dxa"/>
              <w:right w:w="100" w:type="dxa"/>
            </w:tcMar>
          </w:tcPr>
          <w:p w14:paraId="486AFE91" w14:textId="77777777" w:rsidR="0083713A" w:rsidRDefault="00E6046F">
            <w:pPr>
              <w:widowControl w:val="0"/>
              <w:pBdr>
                <w:top w:val="nil"/>
                <w:left w:val="nil"/>
                <w:bottom w:val="nil"/>
                <w:right w:val="nil"/>
                <w:between w:val="nil"/>
              </w:pBdr>
              <w:spacing w:line="240" w:lineRule="auto"/>
              <w:rPr>
                <w:rFonts w:ascii="Courier New" w:eastAsia="Courier New" w:hAnsi="Courier New" w:cs="Courier New"/>
                <w:sz w:val="16"/>
                <w:szCs w:val="16"/>
              </w:rPr>
            </w:pPr>
            <w:r>
              <w:rPr>
                <w:rFonts w:ascii="Courier New" w:eastAsia="Courier New" w:hAnsi="Courier New" w:cs="Courier New"/>
                <w:sz w:val="16"/>
                <w:szCs w:val="16"/>
              </w:rPr>
              <w:t>&gt;</w:t>
            </w:r>
            <w:proofErr w:type="spellStart"/>
            <w:r>
              <w:rPr>
                <w:rFonts w:ascii="Courier New" w:eastAsia="Courier New" w:hAnsi="Courier New" w:cs="Courier New"/>
                <w:sz w:val="16"/>
                <w:szCs w:val="16"/>
              </w:rPr>
              <w:t>HbS_cds</w:t>
            </w:r>
            <w:proofErr w:type="spellEnd"/>
          </w:p>
          <w:p w14:paraId="4BB4CEAD" w14:textId="77777777" w:rsidR="0083713A" w:rsidRDefault="00E6046F">
            <w:pPr>
              <w:widowControl w:val="0"/>
              <w:pBdr>
                <w:top w:val="nil"/>
                <w:left w:val="nil"/>
                <w:bottom w:val="nil"/>
                <w:right w:val="nil"/>
                <w:between w:val="nil"/>
              </w:pBdr>
              <w:spacing w:line="304" w:lineRule="auto"/>
              <w:rPr>
                <w:rFonts w:ascii="Courier New" w:eastAsia="Courier New" w:hAnsi="Courier New" w:cs="Courier New"/>
                <w:sz w:val="16"/>
                <w:szCs w:val="16"/>
              </w:rPr>
            </w:pPr>
            <w:r>
              <w:rPr>
                <w:rFonts w:ascii="Courier New" w:eastAsia="Courier New" w:hAnsi="Courier New" w:cs="Courier New"/>
                <w:sz w:val="18"/>
                <w:szCs w:val="18"/>
                <w:highlight w:val="white"/>
              </w:rPr>
              <w:t>ATGGTGCATCTGACTCCTGTGGAGAAGTCTGCCGTTACTGCCCTGTGGGGCAAGGTGAACGTGGATGAAGTTGGTGGTGAGGCCCTGGGCAGGCTGCTGGTGGTCTACCCTTGGACCCAGAGGTTCTTTGAGTCCTTTGGGGATCTGTCCACTCCTGATGCTGTTATGGGCAACCCTAAGGTGAAGGCTCATGGCAAGAAAGTGCTCGGTGCCTTTAGTGATGGCCTGGCTCACCTGGACAACCTCAAGGGCACCTTTGCCACACTGAGTGAGCTGCACTGTGACAAGCTGCACGTGGATCCTGAGAACTTCAGGCTCCTGGGCAACGTGCTGGTCTGTGTGCTGGCCCATCACTTTGGCAAAGAATTCACCCCACCAGTGCAGGCTGCCTATCAGAAAGTGGTGGCTGGTGTGGCTAATGCCCTGGCCCACAAGTATCACTAA</w:t>
            </w:r>
          </w:p>
        </w:tc>
      </w:tr>
    </w:tbl>
    <w:p w14:paraId="592E37CA" w14:textId="77777777" w:rsidR="0083713A" w:rsidRDefault="0083713A">
      <w:pPr>
        <w:pBdr>
          <w:top w:val="nil"/>
          <w:left w:val="nil"/>
          <w:bottom w:val="nil"/>
          <w:right w:val="nil"/>
          <w:between w:val="nil"/>
        </w:pBdr>
      </w:pPr>
    </w:p>
    <w:p w14:paraId="5D1F2037" w14:textId="77777777" w:rsidR="0083713A" w:rsidRDefault="00E6046F" w:rsidP="00D23AE4">
      <w:pPr>
        <w:numPr>
          <w:ilvl w:val="2"/>
          <w:numId w:val="2"/>
        </w:numPr>
        <w:pBdr>
          <w:top w:val="nil"/>
          <w:left w:val="nil"/>
          <w:bottom w:val="nil"/>
          <w:right w:val="nil"/>
          <w:between w:val="nil"/>
        </w:pBdr>
        <w:ind w:left="1080"/>
      </w:pPr>
      <w:r>
        <w:t xml:space="preserve">Copy the FASTA sequence for the corresponding globin gene from Worksheet 1 (that matches the </w:t>
      </w:r>
      <w:proofErr w:type="spellStart"/>
      <w:r>
        <w:t>HbS</w:t>
      </w:r>
      <w:proofErr w:type="spellEnd"/>
      <w:r>
        <w:t xml:space="preserve"> sequence except for the mutation) and paste into the </w:t>
      </w:r>
      <w:proofErr w:type="spellStart"/>
      <w:r>
        <w:t>ClustalOmega</w:t>
      </w:r>
      <w:proofErr w:type="spellEnd"/>
      <w:r>
        <w:t xml:space="preserve"> window.  Make sure to select ‘DNA’ instead of the default ‘Protein’ as the entry type.  Copy and paste the </w:t>
      </w:r>
      <w:proofErr w:type="spellStart"/>
      <w:r>
        <w:t>HbS_cds</w:t>
      </w:r>
      <w:proofErr w:type="spellEnd"/>
      <w:r>
        <w:t xml:space="preserve"> sequence into the same window.  </w:t>
      </w:r>
      <w:r>
        <w:rPr>
          <w:i/>
        </w:rPr>
        <w:t xml:space="preserve">Note that the </w:t>
      </w:r>
      <w:proofErr w:type="spellStart"/>
      <w:r>
        <w:rPr>
          <w:i/>
        </w:rPr>
        <w:t>HbS</w:t>
      </w:r>
      <w:proofErr w:type="spellEnd"/>
      <w:r>
        <w:rPr>
          <w:i/>
        </w:rPr>
        <w:t xml:space="preserve"> sequence provided is just the coding sequence, not the </w:t>
      </w:r>
      <w:proofErr w:type="gramStart"/>
      <w:r>
        <w:rPr>
          <w:i/>
        </w:rPr>
        <w:t>full length</w:t>
      </w:r>
      <w:proofErr w:type="gramEnd"/>
      <w:r>
        <w:rPr>
          <w:i/>
        </w:rPr>
        <w:t xml:space="preserve"> mRNA as previously done.  </w:t>
      </w:r>
      <w:r>
        <w:t>Align two sequences (</w:t>
      </w:r>
      <w:proofErr w:type="spellStart"/>
      <w:r>
        <w:t>HbS</w:t>
      </w:r>
      <w:proofErr w:type="spellEnd"/>
      <w:r>
        <w:t xml:space="preserve"> and the matching globin mRNA sequence).</w:t>
      </w:r>
    </w:p>
    <w:p w14:paraId="0E23C409" w14:textId="77777777" w:rsidR="0083713A" w:rsidRDefault="00E6046F" w:rsidP="00D23AE4">
      <w:pPr>
        <w:numPr>
          <w:ilvl w:val="2"/>
          <w:numId w:val="2"/>
        </w:numPr>
        <w:pBdr>
          <w:top w:val="nil"/>
          <w:left w:val="nil"/>
          <w:bottom w:val="nil"/>
          <w:right w:val="nil"/>
          <w:between w:val="nil"/>
        </w:pBdr>
        <w:ind w:left="1080"/>
      </w:pPr>
      <w:r>
        <w:t>Copy and paste the aligned sequences in the box provided (reformat and expand if necessary).</w:t>
      </w:r>
    </w:p>
    <w:p w14:paraId="0D244FE2" w14:textId="77777777" w:rsidR="0083713A" w:rsidRDefault="0083713A">
      <w:pPr>
        <w:pBdr>
          <w:top w:val="nil"/>
          <w:left w:val="nil"/>
          <w:bottom w:val="nil"/>
          <w:right w:val="nil"/>
          <w:between w:val="nil"/>
        </w:pBdr>
        <w:ind w:left="1440"/>
      </w:pPr>
    </w:p>
    <w:tbl>
      <w:tblPr>
        <w:tblStyle w:val="a3"/>
        <w:tblW w:w="792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0"/>
      </w:tblGrid>
      <w:tr w:rsidR="0083713A" w14:paraId="561C004A" w14:textId="77777777" w:rsidTr="00D23AE4">
        <w:tc>
          <w:tcPr>
            <w:tcW w:w="7920" w:type="dxa"/>
            <w:shd w:val="clear" w:color="auto" w:fill="auto"/>
            <w:tcMar>
              <w:top w:w="100" w:type="dxa"/>
              <w:left w:w="100" w:type="dxa"/>
              <w:bottom w:w="100" w:type="dxa"/>
              <w:right w:w="100" w:type="dxa"/>
            </w:tcMar>
          </w:tcPr>
          <w:p w14:paraId="7828F3C0" w14:textId="6C52DC32" w:rsidR="0083713A" w:rsidRDefault="0083713A">
            <w:pPr>
              <w:widowControl w:val="0"/>
              <w:pBdr>
                <w:top w:val="nil"/>
                <w:left w:val="nil"/>
                <w:bottom w:val="nil"/>
                <w:right w:val="nil"/>
                <w:between w:val="nil"/>
              </w:pBdr>
              <w:spacing w:line="240" w:lineRule="auto"/>
            </w:pPr>
          </w:p>
        </w:tc>
      </w:tr>
    </w:tbl>
    <w:p w14:paraId="14E52BD8" w14:textId="77777777" w:rsidR="00D23AE4" w:rsidRDefault="00D23AE4" w:rsidP="00D23AE4">
      <w:pPr>
        <w:pBdr>
          <w:top w:val="nil"/>
          <w:left w:val="nil"/>
          <w:bottom w:val="nil"/>
          <w:right w:val="nil"/>
          <w:between w:val="nil"/>
        </w:pBdr>
        <w:ind w:left="1080"/>
      </w:pPr>
    </w:p>
    <w:p w14:paraId="5B05D717" w14:textId="77777777" w:rsidR="00D23AE4" w:rsidRDefault="00D23AE4">
      <w:r>
        <w:br w:type="page"/>
      </w:r>
    </w:p>
    <w:p w14:paraId="3B1FFDE1" w14:textId="1013A73D" w:rsidR="0083713A" w:rsidRDefault="00E6046F" w:rsidP="00D23AE4">
      <w:pPr>
        <w:pStyle w:val="ListParagraph"/>
        <w:numPr>
          <w:ilvl w:val="2"/>
          <w:numId w:val="2"/>
        </w:numPr>
        <w:pBdr>
          <w:top w:val="nil"/>
          <w:left w:val="nil"/>
          <w:bottom w:val="nil"/>
          <w:right w:val="nil"/>
          <w:between w:val="nil"/>
        </w:pBdr>
        <w:ind w:left="1080"/>
      </w:pPr>
      <w:r>
        <w:lastRenderedPageBreak/>
        <w:t xml:space="preserve">Nucleotide matches are shown with an * below the sequence in </w:t>
      </w:r>
      <w:proofErr w:type="spellStart"/>
      <w:r>
        <w:t>ClustalOmega</w:t>
      </w:r>
      <w:proofErr w:type="spellEnd"/>
      <w:r>
        <w:t xml:space="preserve">.  </w:t>
      </w:r>
      <w:r w:rsidRPr="00D23AE4">
        <w:rPr>
          <w:i/>
        </w:rPr>
        <w:t>Hint:  To answer the first question below, look for the missing *.</w:t>
      </w:r>
    </w:p>
    <w:tbl>
      <w:tblPr>
        <w:tblStyle w:val="a4"/>
        <w:tblW w:w="8205"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30"/>
        <w:gridCol w:w="2175"/>
      </w:tblGrid>
      <w:tr w:rsidR="00D23AE4" w14:paraId="59F437C8" w14:textId="77777777" w:rsidTr="00D23AE4">
        <w:tc>
          <w:tcPr>
            <w:tcW w:w="6030" w:type="dxa"/>
          </w:tcPr>
          <w:p w14:paraId="555B80F2" w14:textId="77777777" w:rsidR="0083713A" w:rsidRDefault="00E6046F">
            <w:pPr>
              <w:pBdr>
                <w:top w:val="nil"/>
                <w:left w:val="nil"/>
                <w:bottom w:val="nil"/>
                <w:right w:val="nil"/>
                <w:between w:val="nil"/>
              </w:pBdr>
              <w:spacing w:line="240" w:lineRule="auto"/>
            </w:pPr>
            <w:r>
              <w:t>What do the dashes in the alignment represent?</w:t>
            </w:r>
          </w:p>
        </w:tc>
        <w:tc>
          <w:tcPr>
            <w:tcW w:w="2175" w:type="dxa"/>
          </w:tcPr>
          <w:p w14:paraId="326EA672" w14:textId="41D65889" w:rsidR="0083713A" w:rsidRDefault="0083713A">
            <w:pPr>
              <w:pBdr>
                <w:top w:val="nil"/>
                <w:left w:val="nil"/>
                <w:bottom w:val="nil"/>
                <w:right w:val="nil"/>
                <w:between w:val="nil"/>
              </w:pBdr>
              <w:spacing w:line="240" w:lineRule="auto"/>
              <w:rPr>
                <w:color w:val="FF0000"/>
              </w:rPr>
            </w:pPr>
          </w:p>
        </w:tc>
      </w:tr>
      <w:tr w:rsidR="00D23AE4" w14:paraId="7F9D5710" w14:textId="77777777" w:rsidTr="00D23AE4">
        <w:tc>
          <w:tcPr>
            <w:tcW w:w="6030" w:type="dxa"/>
          </w:tcPr>
          <w:p w14:paraId="090CE1BB" w14:textId="77777777" w:rsidR="0083713A" w:rsidRDefault="00E6046F">
            <w:pPr>
              <w:pBdr>
                <w:top w:val="nil"/>
                <w:left w:val="nil"/>
                <w:bottom w:val="nil"/>
                <w:right w:val="nil"/>
                <w:between w:val="nil"/>
              </w:pBdr>
              <w:spacing w:line="240" w:lineRule="auto"/>
              <w:rPr>
                <w:i/>
              </w:rPr>
            </w:pPr>
            <w:r>
              <w:t xml:space="preserve">What nucleotide change do you observe?  </w:t>
            </w:r>
            <w:r>
              <w:rPr>
                <w:i/>
              </w:rPr>
              <w:t>Write as ‘wild-type’ base &gt; ‘mutant base’.</w:t>
            </w:r>
          </w:p>
        </w:tc>
        <w:tc>
          <w:tcPr>
            <w:tcW w:w="2175" w:type="dxa"/>
          </w:tcPr>
          <w:p w14:paraId="4E3C6FE4" w14:textId="570F48AC" w:rsidR="0083713A" w:rsidRDefault="0083713A">
            <w:pPr>
              <w:pBdr>
                <w:top w:val="nil"/>
                <w:left w:val="nil"/>
                <w:bottom w:val="nil"/>
                <w:right w:val="nil"/>
                <w:between w:val="nil"/>
              </w:pBdr>
              <w:spacing w:line="240" w:lineRule="auto"/>
              <w:rPr>
                <w:color w:val="FF0000"/>
              </w:rPr>
            </w:pPr>
          </w:p>
        </w:tc>
      </w:tr>
      <w:tr w:rsidR="00D23AE4" w14:paraId="6C51C80F" w14:textId="77777777" w:rsidTr="00D23AE4">
        <w:tc>
          <w:tcPr>
            <w:tcW w:w="6030" w:type="dxa"/>
            <w:tcBorders>
              <w:bottom w:val="single" w:sz="8" w:space="0" w:color="000000"/>
            </w:tcBorders>
          </w:tcPr>
          <w:p w14:paraId="52220DD4" w14:textId="77777777" w:rsidR="0083713A" w:rsidRDefault="00E6046F">
            <w:pPr>
              <w:pBdr>
                <w:top w:val="nil"/>
                <w:left w:val="nil"/>
                <w:bottom w:val="nil"/>
                <w:right w:val="nil"/>
                <w:between w:val="nil"/>
              </w:pBdr>
              <w:spacing w:line="240" w:lineRule="auto"/>
              <w:rPr>
                <w:i/>
              </w:rPr>
            </w:pPr>
            <w:r>
              <w:t>Is this a point mutation?</w:t>
            </w:r>
          </w:p>
        </w:tc>
        <w:tc>
          <w:tcPr>
            <w:tcW w:w="2175" w:type="dxa"/>
            <w:tcBorders>
              <w:bottom w:val="single" w:sz="8" w:space="0" w:color="000000"/>
            </w:tcBorders>
          </w:tcPr>
          <w:p w14:paraId="7F795228" w14:textId="0063E493" w:rsidR="0083713A" w:rsidRDefault="0083713A">
            <w:pPr>
              <w:pBdr>
                <w:top w:val="nil"/>
                <w:left w:val="nil"/>
                <w:bottom w:val="nil"/>
                <w:right w:val="nil"/>
                <w:between w:val="nil"/>
              </w:pBdr>
              <w:spacing w:line="240" w:lineRule="auto"/>
              <w:rPr>
                <w:color w:val="FF0000"/>
              </w:rPr>
            </w:pPr>
          </w:p>
        </w:tc>
      </w:tr>
      <w:tr w:rsidR="00D23AE4" w14:paraId="5A6DE919" w14:textId="77777777" w:rsidTr="00D23AE4">
        <w:tc>
          <w:tcPr>
            <w:tcW w:w="6030" w:type="dxa"/>
            <w:shd w:val="clear" w:color="auto" w:fill="auto"/>
          </w:tcPr>
          <w:p w14:paraId="1874C749" w14:textId="17EAF5DE" w:rsidR="0083713A" w:rsidRDefault="00E6046F">
            <w:pPr>
              <w:pBdr>
                <w:top w:val="nil"/>
                <w:left w:val="nil"/>
                <w:bottom w:val="nil"/>
                <w:right w:val="nil"/>
                <w:between w:val="nil"/>
              </w:pBdr>
              <w:spacing w:line="240" w:lineRule="auto"/>
              <w:rPr>
                <w:i/>
              </w:rPr>
            </w:pPr>
            <w:r>
              <w:t xml:space="preserve">If this is a point mutation, is it a </w:t>
            </w:r>
            <w:r>
              <w:rPr>
                <w:b/>
              </w:rPr>
              <w:t>silent</w:t>
            </w:r>
            <w:r>
              <w:t xml:space="preserve"> mutation, a </w:t>
            </w:r>
            <w:r>
              <w:rPr>
                <w:b/>
              </w:rPr>
              <w:t>missense</w:t>
            </w:r>
            <w:r>
              <w:t xml:space="preserve"> mutation or a </w:t>
            </w:r>
            <w:r>
              <w:rPr>
                <w:b/>
              </w:rPr>
              <w:t>nonsense</w:t>
            </w:r>
            <w:r>
              <w:t xml:space="preserve"> mutation?  </w:t>
            </w:r>
            <w:r w:rsidR="00BF0E2F">
              <w:rPr>
                <w:i/>
              </w:rPr>
              <w:t>You may have to remind yourself of these terms.</w:t>
            </w:r>
          </w:p>
        </w:tc>
        <w:tc>
          <w:tcPr>
            <w:tcW w:w="2175" w:type="dxa"/>
            <w:shd w:val="clear" w:color="auto" w:fill="auto"/>
          </w:tcPr>
          <w:p w14:paraId="530DFB48" w14:textId="13449912" w:rsidR="0083713A" w:rsidRDefault="0083713A">
            <w:pPr>
              <w:pBdr>
                <w:top w:val="nil"/>
                <w:left w:val="nil"/>
                <w:bottom w:val="nil"/>
                <w:right w:val="nil"/>
                <w:between w:val="nil"/>
              </w:pBdr>
              <w:spacing w:line="240" w:lineRule="auto"/>
              <w:rPr>
                <w:color w:val="FF0000"/>
              </w:rPr>
            </w:pPr>
          </w:p>
        </w:tc>
      </w:tr>
      <w:tr w:rsidR="00D23AE4" w14:paraId="1046FE66" w14:textId="77777777" w:rsidTr="00D23AE4">
        <w:tc>
          <w:tcPr>
            <w:tcW w:w="6030" w:type="dxa"/>
            <w:shd w:val="clear" w:color="auto" w:fill="auto"/>
          </w:tcPr>
          <w:p w14:paraId="45944C28" w14:textId="46BA88F3" w:rsidR="0083713A" w:rsidRDefault="00E6046F">
            <w:pPr>
              <w:pBdr>
                <w:top w:val="nil"/>
                <w:left w:val="nil"/>
                <w:bottom w:val="nil"/>
                <w:right w:val="nil"/>
                <w:between w:val="nil"/>
              </w:pBdr>
              <w:spacing w:line="240" w:lineRule="auto"/>
              <w:rPr>
                <w:i/>
              </w:rPr>
            </w:pPr>
            <w:r>
              <w:t xml:space="preserve">What type of base change is observed? </w:t>
            </w:r>
            <w:r w:rsidR="00BF0E2F">
              <w:rPr>
                <w:i/>
              </w:rPr>
              <w:t>(Choose from transition and transversion)</w:t>
            </w:r>
          </w:p>
        </w:tc>
        <w:tc>
          <w:tcPr>
            <w:tcW w:w="2175" w:type="dxa"/>
            <w:shd w:val="clear" w:color="auto" w:fill="auto"/>
          </w:tcPr>
          <w:p w14:paraId="653A7FD5" w14:textId="49B10DD3" w:rsidR="0083713A" w:rsidRDefault="0083713A">
            <w:pPr>
              <w:pBdr>
                <w:top w:val="nil"/>
                <w:left w:val="nil"/>
                <w:bottom w:val="nil"/>
                <w:right w:val="nil"/>
                <w:between w:val="nil"/>
              </w:pBdr>
              <w:spacing w:line="240" w:lineRule="auto"/>
              <w:rPr>
                <w:color w:val="FF0000"/>
              </w:rPr>
            </w:pPr>
          </w:p>
        </w:tc>
      </w:tr>
    </w:tbl>
    <w:p w14:paraId="5224A87A" w14:textId="77777777" w:rsidR="0083713A" w:rsidRDefault="0083713A">
      <w:pPr>
        <w:pBdr>
          <w:top w:val="nil"/>
          <w:left w:val="nil"/>
          <w:bottom w:val="nil"/>
          <w:right w:val="nil"/>
          <w:between w:val="nil"/>
        </w:pBdr>
        <w:ind w:left="720"/>
      </w:pPr>
    </w:p>
    <w:p w14:paraId="636040B6" w14:textId="38BE1007" w:rsidR="0083713A" w:rsidRDefault="00E6046F" w:rsidP="00D23AE4">
      <w:pPr>
        <w:numPr>
          <w:ilvl w:val="2"/>
          <w:numId w:val="2"/>
        </w:numPr>
        <w:pBdr>
          <w:top w:val="nil"/>
          <w:left w:val="nil"/>
          <w:bottom w:val="nil"/>
          <w:right w:val="nil"/>
          <w:between w:val="nil"/>
        </w:pBdr>
        <w:ind w:left="1080"/>
      </w:pPr>
      <w:r>
        <w:t>How might the amino acid change (</w:t>
      </w:r>
      <w:r>
        <w:rPr>
          <w:i/>
        </w:rPr>
        <w:t xml:space="preserve">you will need to think about the nature of the amino acid side chains) </w:t>
      </w:r>
      <w:r>
        <w:t xml:space="preserve">in </w:t>
      </w:r>
      <w:proofErr w:type="spellStart"/>
      <w:r>
        <w:t>HbS</w:t>
      </w:r>
      <w:proofErr w:type="spellEnd"/>
      <w:r>
        <w:t xml:space="preserve"> versus the ‘normal’ subunit affect the</w:t>
      </w:r>
    </w:p>
    <w:p w14:paraId="7E9F71A3" w14:textId="77777777" w:rsidR="0083713A" w:rsidRDefault="00E6046F" w:rsidP="00D23AE4">
      <w:pPr>
        <w:numPr>
          <w:ilvl w:val="3"/>
          <w:numId w:val="2"/>
        </w:numPr>
        <w:pBdr>
          <w:top w:val="nil"/>
          <w:left w:val="nil"/>
          <w:bottom w:val="nil"/>
          <w:right w:val="nil"/>
          <w:between w:val="nil"/>
        </w:pBdr>
        <w:ind w:left="1440"/>
      </w:pPr>
      <w:r>
        <w:t>Tertiary polypeptide structure?</w:t>
      </w:r>
    </w:p>
    <w:p w14:paraId="45D76D28" w14:textId="77777777" w:rsidR="0083713A" w:rsidRDefault="0083713A">
      <w:pPr>
        <w:pBdr>
          <w:top w:val="nil"/>
          <w:left w:val="nil"/>
          <w:bottom w:val="nil"/>
          <w:right w:val="nil"/>
          <w:between w:val="nil"/>
        </w:pBdr>
        <w:ind w:left="2160"/>
      </w:pPr>
    </w:p>
    <w:tbl>
      <w:tblPr>
        <w:tblStyle w:val="a5"/>
        <w:tblW w:w="819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tblGrid>
      <w:tr w:rsidR="0083713A" w14:paraId="5B3EA177" w14:textId="77777777" w:rsidTr="00D23AE4">
        <w:tc>
          <w:tcPr>
            <w:tcW w:w="8190" w:type="dxa"/>
            <w:shd w:val="clear" w:color="auto" w:fill="auto"/>
            <w:tcMar>
              <w:top w:w="100" w:type="dxa"/>
              <w:left w:w="100" w:type="dxa"/>
              <w:bottom w:w="100" w:type="dxa"/>
              <w:right w:w="100" w:type="dxa"/>
            </w:tcMar>
          </w:tcPr>
          <w:p w14:paraId="7E95FE02" w14:textId="77777777" w:rsidR="0083713A" w:rsidRDefault="0083713A" w:rsidP="00474863">
            <w:pPr>
              <w:widowControl w:val="0"/>
              <w:pBdr>
                <w:top w:val="nil"/>
                <w:left w:val="nil"/>
                <w:bottom w:val="nil"/>
                <w:right w:val="nil"/>
                <w:between w:val="nil"/>
              </w:pBdr>
              <w:spacing w:line="240" w:lineRule="auto"/>
            </w:pPr>
          </w:p>
        </w:tc>
      </w:tr>
    </w:tbl>
    <w:p w14:paraId="0CC52D1F" w14:textId="77777777" w:rsidR="0083713A" w:rsidRDefault="0083713A">
      <w:pPr>
        <w:pBdr>
          <w:top w:val="nil"/>
          <w:left w:val="nil"/>
          <w:bottom w:val="nil"/>
          <w:right w:val="nil"/>
          <w:between w:val="nil"/>
        </w:pBdr>
        <w:ind w:left="2160"/>
      </w:pPr>
    </w:p>
    <w:p w14:paraId="0360BE68" w14:textId="77777777" w:rsidR="0083713A" w:rsidRDefault="00E6046F" w:rsidP="00D23AE4">
      <w:pPr>
        <w:numPr>
          <w:ilvl w:val="3"/>
          <w:numId w:val="2"/>
        </w:numPr>
        <w:pBdr>
          <w:top w:val="nil"/>
          <w:left w:val="nil"/>
          <w:bottom w:val="nil"/>
          <w:right w:val="nil"/>
          <w:between w:val="nil"/>
        </w:pBdr>
        <w:ind w:left="1440"/>
      </w:pPr>
      <w:r>
        <w:t>Quaternary protein structure?</w:t>
      </w:r>
    </w:p>
    <w:p w14:paraId="31753B7A" w14:textId="77777777" w:rsidR="0083713A" w:rsidRDefault="0083713A">
      <w:pPr>
        <w:pBdr>
          <w:top w:val="nil"/>
          <w:left w:val="nil"/>
          <w:bottom w:val="nil"/>
          <w:right w:val="nil"/>
          <w:between w:val="nil"/>
        </w:pBdr>
        <w:ind w:left="2160"/>
      </w:pPr>
    </w:p>
    <w:tbl>
      <w:tblPr>
        <w:tblStyle w:val="a6"/>
        <w:tblW w:w="819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0"/>
      </w:tblGrid>
      <w:tr w:rsidR="00D23AE4" w14:paraId="1A26D6E2" w14:textId="77777777" w:rsidTr="00D23AE4">
        <w:tc>
          <w:tcPr>
            <w:tcW w:w="8190" w:type="dxa"/>
            <w:shd w:val="clear" w:color="auto" w:fill="auto"/>
            <w:tcMar>
              <w:top w:w="100" w:type="dxa"/>
              <w:left w:w="100" w:type="dxa"/>
              <w:bottom w:w="100" w:type="dxa"/>
              <w:right w:w="100" w:type="dxa"/>
            </w:tcMar>
          </w:tcPr>
          <w:p w14:paraId="7A144E8E" w14:textId="77777777" w:rsidR="0083713A" w:rsidRDefault="0083713A">
            <w:pPr>
              <w:widowControl w:val="0"/>
              <w:pBdr>
                <w:top w:val="nil"/>
                <w:left w:val="nil"/>
                <w:bottom w:val="nil"/>
                <w:right w:val="nil"/>
                <w:between w:val="nil"/>
              </w:pBdr>
              <w:spacing w:line="240" w:lineRule="auto"/>
            </w:pPr>
            <w:bookmarkStart w:id="0" w:name="_GoBack"/>
            <w:bookmarkEnd w:id="0"/>
          </w:p>
          <w:p w14:paraId="7816A26E" w14:textId="77777777" w:rsidR="0083713A" w:rsidRDefault="0083713A">
            <w:pPr>
              <w:widowControl w:val="0"/>
              <w:pBdr>
                <w:top w:val="nil"/>
                <w:left w:val="nil"/>
                <w:bottom w:val="nil"/>
                <w:right w:val="nil"/>
                <w:between w:val="nil"/>
              </w:pBdr>
              <w:spacing w:line="240" w:lineRule="auto"/>
            </w:pPr>
          </w:p>
          <w:p w14:paraId="1762581D" w14:textId="77777777" w:rsidR="0083713A" w:rsidRDefault="0083713A">
            <w:pPr>
              <w:widowControl w:val="0"/>
              <w:pBdr>
                <w:top w:val="nil"/>
                <w:left w:val="nil"/>
                <w:bottom w:val="nil"/>
                <w:right w:val="nil"/>
                <w:between w:val="nil"/>
              </w:pBdr>
              <w:spacing w:line="240" w:lineRule="auto"/>
            </w:pPr>
          </w:p>
          <w:p w14:paraId="32DB17A5" w14:textId="77777777" w:rsidR="0083713A" w:rsidRDefault="0083713A">
            <w:pPr>
              <w:widowControl w:val="0"/>
              <w:pBdr>
                <w:top w:val="nil"/>
                <w:left w:val="nil"/>
                <w:bottom w:val="nil"/>
                <w:right w:val="nil"/>
                <w:between w:val="nil"/>
              </w:pBdr>
              <w:spacing w:line="240" w:lineRule="auto"/>
            </w:pPr>
          </w:p>
        </w:tc>
      </w:tr>
    </w:tbl>
    <w:p w14:paraId="5F0E4995" w14:textId="77777777" w:rsidR="0083713A" w:rsidRDefault="0083713A">
      <w:pPr>
        <w:pBdr>
          <w:top w:val="nil"/>
          <w:left w:val="nil"/>
          <w:bottom w:val="nil"/>
          <w:right w:val="nil"/>
          <w:between w:val="nil"/>
        </w:pBdr>
      </w:pPr>
    </w:p>
    <w:p w14:paraId="4229BCC9" w14:textId="77777777" w:rsidR="0083713A" w:rsidRDefault="0083713A">
      <w:pPr>
        <w:pBdr>
          <w:top w:val="nil"/>
          <w:left w:val="nil"/>
          <w:bottom w:val="nil"/>
          <w:right w:val="nil"/>
          <w:between w:val="nil"/>
        </w:pBdr>
      </w:pPr>
    </w:p>
    <w:sectPr w:rsidR="0083713A">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6E03" w14:textId="77777777" w:rsidR="00532CBE" w:rsidRDefault="00532CBE">
      <w:pPr>
        <w:spacing w:line="240" w:lineRule="auto"/>
      </w:pPr>
      <w:r>
        <w:separator/>
      </w:r>
    </w:p>
  </w:endnote>
  <w:endnote w:type="continuationSeparator" w:id="0">
    <w:p w14:paraId="2440592A" w14:textId="77777777" w:rsidR="00532CBE" w:rsidRDefault="00532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4B26" w14:textId="788D1D08" w:rsidR="0083713A" w:rsidRDefault="00D963D1" w:rsidP="00D963D1">
    <w:pPr>
      <w:pBdr>
        <w:top w:val="nil"/>
        <w:left w:val="nil"/>
        <w:bottom w:val="nil"/>
        <w:right w:val="nil"/>
        <w:between w:val="nil"/>
      </w:pBdr>
      <w:jc w:val="center"/>
    </w:pPr>
    <w:r>
      <w:t xml:space="preserve">Page </w:t>
    </w:r>
    <w:r w:rsidR="00E6046F">
      <w:fldChar w:fldCharType="begin"/>
    </w:r>
    <w:r w:rsidR="00E6046F">
      <w:instrText>PAGE</w:instrText>
    </w:r>
    <w:r w:rsidR="00E6046F">
      <w:fldChar w:fldCharType="separate"/>
    </w:r>
    <w:r w:rsidR="0089476E">
      <w:rPr>
        <w:noProof/>
      </w:rPr>
      <w:t>2</w:t>
    </w:r>
    <w:r w:rsidR="00E6046F">
      <w:fldChar w:fldCharType="end"/>
    </w:r>
    <w:r w:rsidR="00E6046F">
      <w:t xml:space="preserve"> of </w:t>
    </w:r>
    <w:r w:rsidR="00E6046F">
      <w:fldChar w:fldCharType="begin"/>
    </w:r>
    <w:r w:rsidR="00E6046F">
      <w:instrText>NUMPAGES</w:instrText>
    </w:r>
    <w:r w:rsidR="00E6046F">
      <w:fldChar w:fldCharType="separate"/>
    </w:r>
    <w:r w:rsidR="0089476E">
      <w:rPr>
        <w:noProof/>
      </w:rPr>
      <w:t>2</w:t>
    </w:r>
    <w:r w:rsidR="00E6046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50740" w14:textId="14418034" w:rsidR="0083713A" w:rsidRDefault="00383981" w:rsidP="00383981">
    <w:pPr>
      <w:pBdr>
        <w:top w:val="nil"/>
        <w:left w:val="nil"/>
        <w:bottom w:val="nil"/>
        <w:right w:val="nil"/>
        <w:between w:val="nil"/>
      </w:pBdr>
      <w:jc w:val="center"/>
    </w:pPr>
    <w:r>
      <w:t xml:space="preserve">Page </w:t>
    </w:r>
    <w:r w:rsidR="00E6046F">
      <w:fldChar w:fldCharType="begin"/>
    </w:r>
    <w:r w:rsidR="00E6046F">
      <w:instrText>PAGE</w:instrText>
    </w:r>
    <w:r w:rsidR="00E6046F">
      <w:fldChar w:fldCharType="separate"/>
    </w:r>
    <w:r w:rsidR="0089476E">
      <w:rPr>
        <w:noProof/>
      </w:rPr>
      <w:t>1</w:t>
    </w:r>
    <w:r w:rsidR="00E6046F">
      <w:fldChar w:fldCharType="end"/>
    </w:r>
    <w:r w:rsidR="00E6046F">
      <w:t xml:space="preserve"> of </w:t>
    </w:r>
    <w:r w:rsidR="00E6046F">
      <w:fldChar w:fldCharType="begin"/>
    </w:r>
    <w:r w:rsidR="00E6046F">
      <w:instrText>NUMPAGES</w:instrText>
    </w:r>
    <w:r w:rsidR="00E6046F">
      <w:fldChar w:fldCharType="separate"/>
    </w:r>
    <w:r w:rsidR="0089476E">
      <w:rPr>
        <w:noProof/>
      </w:rPr>
      <w:t>1</w:t>
    </w:r>
    <w:r w:rsidR="00E604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474AC" w14:textId="77777777" w:rsidR="00532CBE" w:rsidRDefault="00532CBE">
      <w:pPr>
        <w:spacing w:line="240" w:lineRule="auto"/>
      </w:pPr>
      <w:r>
        <w:separator/>
      </w:r>
    </w:p>
  </w:footnote>
  <w:footnote w:type="continuationSeparator" w:id="0">
    <w:p w14:paraId="53AD1B96" w14:textId="77777777" w:rsidR="00532CBE" w:rsidRDefault="00532CBE">
      <w:pPr>
        <w:spacing w:line="240" w:lineRule="auto"/>
      </w:pPr>
      <w:r>
        <w:continuationSeparator/>
      </w:r>
    </w:p>
  </w:footnote>
  <w:footnote w:id="1">
    <w:p w14:paraId="13092CAF" w14:textId="2D695140" w:rsidR="0083713A" w:rsidRDefault="0083713A">
      <w:pPr>
        <w:pBdr>
          <w:top w:val="nil"/>
          <w:left w:val="nil"/>
          <w:bottom w:val="nil"/>
          <w:right w:val="nil"/>
          <w:between w:val="nil"/>
        </w:pBd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9A0D" w14:textId="77777777" w:rsidR="0083713A" w:rsidRDefault="0083713A">
    <w:pPr>
      <w:pBdr>
        <w:top w:val="nil"/>
        <w:left w:val="nil"/>
        <w:bottom w:val="nil"/>
        <w:right w:val="nil"/>
        <w:between w:val="nil"/>
      </w:pBdr>
    </w:pPr>
  </w:p>
  <w:p w14:paraId="2F25A670" w14:textId="77777777" w:rsidR="0083713A" w:rsidRDefault="00E6046F">
    <w:pPr>
      <w:pBdr>
        <w:top w:val="nil"/>
        <w:left w:val="nil"/>
        <w:bottom w:val="nil"/>
        <w:right w:val="nil"/>
        <w:between w:val="nil"/>
      </w:pBdr>
    </w:pPr>
    <w:r>
      <w:t>Hemoglobin worksheet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ED73" w14:textId="77777777" w:rsidR="0083713A" w:rsidRDefault="0083713A">
    <w:pPr>
      <w:pBdr>
        <w:top w:val="nil"/>
        <w:left w:val="nil"/>
        <w:bottom w:val="nil"/>
        <w:right w:val="nil"/>
        <w:between w:val="nil"/>
      </w:pBdr>
    </w:pPr>
  </w:p>
  <w:p w14:paraId="407F03E8" w14:textId="2050E098" w:rsidR="0083713A" w:rsidRDefault="00E6046F">
    <w:pPr>
      <w:pBdr>
        <w:top w:val="nil"/>
        <w:left w:val="nil"/>
        <w:bottom w:val="nil"/>
        <w:right w:val="nil"/>
        <w:between w:val="nil"/>
      </w:pBdr>
    </w:pPr>
    <w:r>
      <w:t>Hemoglobin worksheet 2</w:t>
    </w:r>
    <w:r w:rsidR="00860BF3">
      <w:tab/>
    </w:r>
    <w:r w:rsidR="00860BF3">
      <w:tab/>
    </w:r>
    <w:r w:rsidR="00860BF3">
      <w:tab/>
    </w:r>
    <w:r w:rsidR="00860BF3">
      <w:tab/>
    </w:r>
    <w:r w:rsidR="00860BF3">
      <w:tab/>
    </w:r>
    <w:r w:rsidR="00860BF3">
      <w:tab/>
      <w:t>Name: ________________</w:t>
    </w:r>
  </w:p>
  <w:p w14:paraId="110C4F74" w14:textId="59C4FDAF" w:rsidR="00860BF3" w:rsidRDefault="00860BF3">
    <w:pPr>
      <w:pBdr>
        <w:top w:val="nil"/>
        <w:left w:val="nil"/>
        <w:bottom w:val="nil"/>
        <w:right w:val="nil"/>
        <w:between w:val="nil"/>
      </w:pBdr>
    </w:pPr>
    <w:r>
      <w:t>Johnson,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66AA"/>
    <w:multiLevelType w:val="hybridMultilevel"/>
    <w:tmpl w:val="9B964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F82B4B"/>
    <w:multiLevelType w:val="multilevel"/>
    <w:tmpl w:val="5532D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DF4970"/>
    <w:multiLevelType w:val="multilevel"/>
    <w:tmpl w:val="112E6A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3A"/>
    <w:rsid w:val="0025728D"/>
    <w:rsid w:val="002D083E"/>
    <w:rsid w:val="00365DC2"/>
    <w:rsid w:val="00383981"/>
    <w:rsid w:val="00474863"/>
    <w:rsid w:val="00501DF4"/>
    <w:rsid w:val="00521425"/>
    <w:rsid w:val="00532CBE"/>
    <w:rsid w:val="00571305"/>
    <w:rsid w:val="00667318"/>
    <w:rsid w:val="007C2FE3"/>
    <w:rsid w:val="0083713A"/>
    <w:rsid w:val="00860BF3"/>
    <w:rsid w:val="0089476E"/>
    <w:rsid w:val="00BB4AC9"/>
    <w:rsid w:val="00BF0E2F"/>
    <w:rsid w:val="00C34AC1"/>
    <w:rsid w:val="00D23AE4"/>
    <w:rsid w:val="00D963D1"/>
    <w:rsid w:val="00DC4D0A"/>
    <w:rsid w:val="00E6046F"/>
    <w:rsid w:val="00EB3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BF0D3B"/>
  <w15:docId w15:val="{33A32D82-7F9D-7D4C-9398-EC3D8E80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34AC1"/>
    <w:pPr>
      <w:ind w:left="720"/>
      <w:contextualSpacing/>
    </w:pPr>
  </w:style>
  <w:style w:type="paragraph" w:styleId="Header">
    <w:name w:val="header"/>
    <w:basedOn w:val="Normal"/>
    <w:link w:val="HeaderChar"/>
    <w:uiPriority w:val="99"/>
    <w:unhideWhenUsed/>
    <w:rsid w:val="00860BF3"/>
    <w:pPr>
      <w:tabs>
        <w:tab w:val="center" w:pos="4680"/>
        <w:tab w:val="right" w:pos="9360"/>
      </w:tabs>
      <w:spacing w:line="240" w:lineRule="auto"/>
    </w:pPr>
  </w:style>
  <w:style w:type="character" w:customStyle="1" w:styleId="HeaderChar">
    <w:name w:val="Header Char"/>
    <w:basedOn w:val="DefaultParagraphFont"/>
    <w:link w:val="Header"/>
    <w:uiPriority w:val="99"/>
    <w:rsid w:val="00860BF3"/>
  </w:style>
  <w:style w:type="paragraph" w:styleId="Footer">
    <w:name w:val="footer"/>
    <w:basedOn w:val="Normal"/>
    <w:link w:val="FooterChar"/>
    <w:uiPriority w:val="99"/>
    <w:unhideWhenUsed/>
    <w:rsid w:val="00860BF3"/>
    <w:pPr>
      <w:tabs>
        <w:tab w:val="center" w:pos="4680"/>
        <w:tab w:val="right" w:pos="9360"/>
      </w:tabs>
      <w:spacing w:line="240" w:lineRule="auto"/>
    </w:pPr>
  </w:style>
  <w:style w:type="character" w:customStyle="1" w:styleId="FooterChar">
    <w:name w:val="Footer Char"/>
    <w:basedOn w:val="DefaultParagraphFont"/>
    <w:link w:val="Footer"/>
    <w:uiPriority w:val="99"/>
    <w:rsid w:val="00860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3</cp:revision>
  <dcterms:created xsi:type="dcterms:W3CDTF">2021-06-07T19:26:00Z</dcterms:created>
  <dcterms:modified xsi:type="dcterms:W3CDTF">2021-06-07T19:27:00Z</dcterms:modified>
</cp:coreProperties>
</file>