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3374D" w14:textId="133D66EA" w:rsidR="00E2666E" w:rsidRPr="008A54DF" w:rsidRDefault="00DC6DFE" w:rsidP="00E631C0">
      <w:pPr>
        <w:jc w:val="center"/>
        <w:rPr>
          <w:b/>
          <w:bCs/>
        </w:rPr>
      </w:pPr>
      <w:r w:rsidRPr="008A54DF">
        <w:rPr>
          <w:b/>
          <w:bCs/>
        </w:rPr>
        <w:t>Waking U</w:t>
      </w:r>
      <w:r w:rsidR="00474A8D" w:rsidRPr="008A54DF">
        <w:rPr>
          <w:b/>
          <w:bCs/>
        </w:rPr>
        <w:t>p Anna</w:t>
      </w:r>
    </w:p>
    <w:p w14:paraId="35A1E3DE" w14:textId="2ACC2927" w:rsidR="00914559" w:rsidRPr="008A54DF" w:rsidRDefault="00914559" w:rsidP="00E631C0">
      <w:pPr>
        <w:jc w:val="center"/>
      </w:pPr>
      <w:r w:rsidRPr="008A54DF">
        <w:t>By Kate O’Toole</w:t>
      </w:r>
      <w:r w:rsidRPr="008A54DF">
        <w:rPr>
          <w:vertAlign w:val="superscript"/>
        </w:rPr>
        <w:t>1</w:t>
      </w:r>
      <w:r w:rsidRPr="008A54DF">
        <w:t>, and Shuchismita Dutta</w:t>
      </w:r>
      <w:r w:rsidR="00A323E2" w:rsidRPr="008A54DF">
        <w:rPr>
          <w:vertAlign w:val="superscript"/>
        </w:rPr>
        <w:t>2</w:t>
      </w:r>
      <w:r w:rsidR="000E120E" w:rsidRPr="008A54DF">
        <w:rPr>
          <w:vertAlign w:val="superscript"/>
        </w:rPr>
        <w:t>*</w:t>
      </w:r>
    </w:p>
    <w:p w14:paraId="1A7BC022" w14:textId="77777777" w:rsidR="0016169A" w:rsidRPr="008A54DF" w:rsidRDefault="0016169A" w:rsidP="00983BB8">
      <w:pPr>
        <w:rPr>
          <w:vertAlign w:val="superscript"/>
        </w:rPr>
      </w:pPr>
    </w:p>
    <w:p w14:paraId="601A84CD" w14:textId="21D243B2" w:rsidR="00DC6DFE" w:rsidRPr="008A54DF" w:rsidRDefault="000E120E" w:rsidP="00983BB8">
      <w:r w:rsidRPr="008A54DF">
        <w:rPr>
          <w:vertAlign w:val="superscript"/>
        </w:rPr>
        <w:t>1</w:t>
      </w:r>
      <w:r w:rsidR="00983BB8" w:rsidRPr="008A54DF">
        <w:t>Department of Biology, Emory University, Atlanta, GA 30322</w:t>
      </w:r>
    </w:p>
    <w:p w14:paraId="70433C34" w14:textId="4AE0472D" w:rsidR="000E120E" w:rsidRPr="008A54DF" w:rsidRDefault="00A323E2">
      <w:r w:rsidRPr="008A54DF">
        <w:rPr>
          <w:vertAlign w:val="superscript"/>
        </w:rPr>
        <w:t>2</w:t>
      </w:r>
      <w:r w:rsidR="00983BB8" w:rsidRPr="008A54DF">
        <w:t>Institute of Quantitative Biomedicine, Rutgers University, Piscataway NJ 08854</w:t>
      </w:r>
    </w:p>
    <w:p w14:paraId="126E0569" w14:textId="777B6511" w:rsidR="0016169A" w:rsidRPr="008A54DF" w:rsidRDefault="002607E9">
      <w:r w:rsidRPr="008A54DF">
        <w:t>*contact author:</w:t>
      </w:r>
      <w:r w:rsidR="00FD776D" w:rsidRPr="008A54DF">
        <w:t xml:space="preserve"> sdutta@rcsb.rutgers.edu</w:t>
      </w:r>
    </w:p>
    <w:p w14:paraId="0661181F" w14:textId="77777777" w:rsidR="002607E9" w:rsidRPr="008A54DF" w:rsidRDefault="002607E9"/>
    <w:p w14:paraId="299AF554" w14:textId="77777777" w:rsidR="00CF1A9A" w:rsidRDefault="00CF1A9A"/>
    <w:p w14:paraId="2AC6A1D9" w14:textId="06CE210B" w:rsidR="00CF1A9A" w:rsidRPr="00E930FA" w:rsidRDefault="00CF1A9A" w:rsidP="00CF1A9A">
      <w:r w:rsidRPr="008A54DF">
        <w:rPr>
          <w:b/>
          <w:bCs/>
        </w:rPr>
        <w:t xml:space="preserve">Part </w:t>
      </w:r>
      <w:r w:rsidR="00E930FA">
        <w:rPr>
          <w:b/>
          <w:bCs/>
        </w:rPr>
        <w:t>2</w:t>
      </w:r>
      <w:r w:rsidRPr="008A54DF">
        <w:rPr>
          <w:b/>
          <w:bCs/>
        </w:rPr>
        <w:t xml:space="preserve">: A Clue in </w:t>
      </w:r>
      <w:r>
        <w:rPr>
          <w:b/>
          <w:bCs/>
        </w:rPr>
        <w:t>Anna’s</w:t>
      </w:r>
      <w:r w:rsidRPr="008A54DF">
        <w:rPr>
          <w:b/>
          <w:bCs/>
        </w:rPr>
        <w:t xml:space="preserve"> Spinal Fluid</w:t>
      </w:r>
    </w:p>
    <w:p w14:paraId="213BCFAF" w14:textId="77777777" w:rsidR="00CF1A9A" w:rsidRDefault="00CF1A9A" w:rsidP="00CF1A9A"/>
    <w:p w14:paraId="0E9B3BDA" w14:textId="77777777" w:rsidR="00CF1A9A" w:rsidRPr="008A54DF" w:rsidRDefault="00CF1A9A" w:rsidP="00CF1A9A">
      <w:r>
        <w:t>Although w</w:t>
      </w:r>
      <w:r w:rsidRPr="008A54DF">
        <w:t xml:space="preserve">e have all </w:t>
      </w:r>
      <w:r>
        <w:t xml:space="preserve">may have </w:t>
      </w:r>
      <w:r w:rsidRPr="008A54DF">
        <w:t>been sleep deprived at some point in time and can relate to how difficult it becomes to focus or carry out simple routine tasks</w:t>
      </w:r>
      <w:r>
        <w:t>,</w:t>
      </w:r>
      <w:r w:rsidRPr="008A54DF">
        <w:t xml:space="preserve"> Anna Sumner</w:t>
      </w:r>
      <w:r>
        <w:t>’s case</w:t>
      </w:r>
      <w:r w:rsidRPr="008A54DF">
        <w:t xml:space="preserve"> was different – she craved sleep</w:t>
      </w:r>
      <w:r>
        <w:t xml:space="preserve"> and would not be able to wake up refreshed even after ~30 hours of sleep.</w:t>
      </w:r>
    </w:p>
    <w:p w14:paraId="7453D469" w14:textId="77777777" w:rsidR="00CF1A9A" w:rsidRDefault="00CF1A9A" w:rsidP="00CF1A9A"/>
    <w:p w14:paraId="1E4BFBA9" w14:textId="77777777" w:rsidR="00CF1A9A" w:rsidRDefault="00CF1A9A" w:rsidP="00CF1A9A">
      <w:r>
        <w:t xml:space="preserve">Before discussing Anna’s case any further let us review “Neurochemistry of Sleep” that you learned about in part C. of the Preparation section of this case. </w:t>
      </w:r>
    </w:p>
    <w:p w14:paraId="46AAFD39" w14:textId="77777777" w:rsidR="00CF1A9A" w:rsidRDefault="00CF1A9A" w:rsidP="00CF1A9A"/>
    <w:p w14:paraId="031C653C" w14:textId="5CEE410D" w:rsidR="00CF1A9A" w:rsidRPr="00A700B4" w:rsidRDefault="00A700B4" w:rsidP="00CF1A9A">
      <w:pPr>
        <w:rPr>
          <w:color w:val="000000" w:themeColor="text1"/>
        </w:rPr>
      </w:pPr>
      <w:r w:rsidRPr="00A700B4">
        <w:rPr>
          <w:color w:val="000000" w:themeColor="text1"/>
        </w:rPr>
        <w:t>Review</w:t>
      </w:r>
      <w:r w:rsidR="00CF1A9A" w:rsidRPr="00A700B4">
        <w:rPr>
          <w:color w:val="000000" w:themeColor="text1"/>
        </w:rPr>
        <w:t xml:space="preserve"> the structure and function of GABA-A receptors and some key vocabulary terms used in the case (Agonist, Antagonist, Allosteric modulators). The relevant sections to review are included below for your convenience. </w:t>
      </w:r>
    </w:p>
    <w:p w14:paraId="59AAB12F" w14:textId="7A71CDD2" w:rsidR="00CF1A9A" w:rsidRDefault="00CF1A9A" w:rsidP="00CF1A9A"/>
    <w:p w14:paraId="1F7EAF96" w14:textId="77777777" w:rsidR="00CF1A9A" w:rsidRDefault="00CF1A9A" w:rsidP="00CF1A9A">
      <w:pPr>
        <w:pStyle w:val="ListParagraph"/>
        <w:numPr>
          <w:ilvl w:val="0"/>
          <w:numId w:val="23"/>
        </w:numPr>
      </w:pPr>
      <w:r w:rsidRPr="00816FCB">
        <w:rPr>
          <w:u w:val="single"/>
        </w:rPr>
        <w:t>Structure</w:t>
      </w:r>
      <w:r>
        <w:rPr>
          <w:u w:val="single"/>
        </w:rPr>
        <w:t xml:space="preserve"> and Function </w:t>
      </w:r>
      <w:r w:rsidRPr="00816FCB">
        <w:rPr>
          <w:u w:val="single"/>
        </w:rPr>
        <w:t>of GABA-A receptors</w:t>
      </w:r>
      <w:r>
        <w:t>:</w:t>
      </w:r>
    </w:p>
    <w:p w14:paraId="5A22D293" w14:textId="77777777" w:rsidR="00CF1A9A" w:rsidRDefault="00CF1A9A" w:rsidP="00CF1A9A">
      <w:pPr>
        <w:pStyle w:val="ListParagraph"/>
        <w:numPr>
          <w:ilvl w:val="1"/>
          <w:numId w:val="23"/>
        </w:numPr>
      </w:pPr>
      <w:r>
        <w:rPr>
          <w:u w:val="single"/>
        </w:rPr>
        <w:t>Structure:</w:t>
      </w:r>
      <w:r w:rsidRPr="008A54DF">
        <w:t xml:space="preserve"> </w:t>
      </w:r>
      <w:r>
        <w:t xml:space="preserve">These receptors </w:t>
      </w:r>
      <w:r w:rsidRPr="008A54DF">
        <w:t xml:space="preserve">are </w:t>
      </w:r>
      <w:r>
        <w:t xml:space="preserve">pentameric, i.e., they are </w:t>
      </w:r>
      <w:r w:rsidRPr="008A54DF">
        <w:t>composed of 5 transmembrane protein</w:t>
      </w:r>
      <w:r>
        <w:t xml:space="preserve"> subunits</w:t>
      </w:r>
      <w:r w:rsidRPr="008A54DF">
        <w:t xml:space="preserve"> that together form a chloride ion-selective channel</w:t>
      </w:r>
      <w:r>
        <w:t>. Although there are many different isoforms of the protein, the most common type of GABA-A receptors found in the human brain are composed of 2 alpha (</w:t>
      </w:r>
      <w:r w:rsidRPr="00F1739A">
        <w:rPr>
          <w:b/>
          <w:bCs/>
        </w:rPr>
        <w:t>α</w:t>
      </w:r>
      <w:r>
        <w:t>), 2 beta (</w:t>
      </w:r>
      <w:r w:rsidRPr="00F1739A">
        <w:rPr>
          <w:b/>
          <w:bCs/>
        </w:rPr>
        <w:t>β</w:t>
      </w:r>
      <w:r>
        <w:t>), and 1 gamma (</w:t>
      </w:r>
      <w:r w:rsidRPr="00F1739A">
        <w:rPr>
          <w:b/>
          <w:bCs/>
        </w:rPr>
        <w:t>γ</w:t>
      </w:r>
      <w:r>
        <w:t>) subunit.</w:t>
      </w:r>
    </w:p>
    <w:p w14:paraId="04F53D61" w14:textId="77777777" w:rsidR="00CF1A9A" w:rsidRPr="008A54DF" w:rsidRDefault="00CF1A9A" w:rsidP="00CF1A9A">
      <w:pPr>
        <w:pStyle w:val="ListParagraph"/>
        <w:numPr>
          <w:ilvl w:val="1"/>
          <w:numId w:val="23"/>
        </w:numPr>
      </w:pPr>
      <w:r w:rsidRPr="009B43EF">
        <w:rPr>
          <w:u w:val="single"/>
        </w:rPr>
        <w:t>Function:</w:t>
      </w:r>
      <w:r>
        <w:t xml:space="preserve"> </w:t>
      </w:r>
      <w:r w:rsidRPr="009B43EF">
        <w:t xml:space="preserve">Binding of neurotransmitters triggers ion channels to open. When GABA binds to the GABA-A receptor, the ion channel is open and chloride ions can cross the cell membrane. Other ligands, including clinically important drugs, </w:t>
      </w:r>
      <w:r w:rsidRPr="00F4270B">
        <w:rPr>
          <w:i/>
          <w:iCs/>
        </w:rPr>
        <w:t>e.g.</w:t>
      </w:r>
      <w:r w:rsidRPr="008A54DF">
        <w:t xml:space="preserve"> benzodiazepines (a sedative), anesthetics and depressants </w:t>
      </w:r>
      <w:r w:rsidRPr="009B43EF">
        <w:t>can also bind to the GABA-A receptor to alter its function by opening or closing the Cl− channel.</w:t>
      </w:r>
      <w:r>
        <w:t xml:space="preserve"> </w:t>
      </w:r>
      <w:r w:rsidRPr="008A54DF">
        <w:t>A simple cartoon of the GABA-A receptor is shown in Figure 2 along with</w:t>
      </w:r>
      <w:r>
        <w:t xml:space="preserve"> the binding sites of various ligands</w:t>
      </w:r>
      <w:r w:rsidRPr="008A54DF">
        <w:t>.</w:t>
      </w:r>
      <w:r>
        <w:t xml:space="preserve"> </w:t>
      </w:r>
    </w:p>
    <w:p w14:paraId="4F405BE6" w14:textId="77777777" w:rsidR="00CF1A9A" w:rsidRPr="008A54DF" w:rsidRDefault="00CF1A9A" w:rsidP="00CF1A9A">
      <w:pPr>
        <w:jc w:val="center"/>
      </w:pPr>
      <w:r w:rsidRPr="008A54DF">
        <w:rPr>
          <w:noProof/>
        </w:rPr>
        <w:drawing>
          <wp:inline distT="0" distB="0" distL="0" distR="0" wp14:anchorId="72D4B307" wp14:editId="60CE086D">
            <wp:extent cx="3233205" cy="2116667"/>
            <wp:effectExtent l="0" t="0" r="5715" b="4445"/>
            <wp:docPr id="6" name="Picture 6"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953" cy="2121085"/>
                    </a:xfrm>
                    <a:prstGeom prst="rect">
                      <a:avLst/>
                    </a:prstGeom>
                    <a:noFill/>
                    <a:ln>
                      <a:noFill/>
                    </a:ln>
                  </pic:spPr>
                </pic:pic>
              </a:graphicData>
            </a:graphic>
          </wp:inline>
        </w:drawing>
      </w:r>
    </w:p>
    <w:p w14:paraId="73126017" w14:textId="77777777" w:rsidR="00CF1A9A" w:rsidRDefault="00CF1A9A" w:rsidP="00CF1A9A">
      <w:r w:rsidRPr="008A54DF">
        <w:lastRenderedPageBreak/>
        <w:t>Figure 2: GABA-A receptor, chloride (Cl</w:t>
      </w:r>
      <w:r w:rsidRPr="008A54DF">
        <w:rPr>
          <w:vertAlign w:val="superscript"/>
        </w:rPr>
        <w:t>−</w:t>
      </w:r>
      <w:r w:rsidRPr="008A54DF">
        <w:t xml:space="preserve">) ionophore complex. The cut-away view </w:t>
      </w:r>
      <w:r>
        <w:t>shows</w:t>
      </w:r>
      <w:r w:rsidRPr="008A54DF">
        <w:t xml:space="preserve"> </w:t>
      </w:r>
      <w:r>
        <w:t xml:space="preserve">binding sites </w:t>
      </w:r>
      <w:r w:rsidRPr="008A54DF">
        <w:t xml:space="preserve">for a variety of compounds that influence the </w:t>
      </w:r>
      <w:r>
        <w:t xml:space="preserve">function of the </w:t>
      </w:r>
      <w:r w:rsidRPr="008A54DF">
        <w:t>receptor complex. (Adapted from Olsen, R.W. and DeLorey, T.M., (1996), GABA Receptor Physiology and Pharmacology, Basic Neurochemistry: Molecular, Cellular and Medical Aspects. 6th edition.</w:t>
      </w:r>
      <w:r>
        <w:t>)</w:t>
      </w:r>
    </w:p>
    <w:p w14:paraId="22FD54E2" w14:textId="77777777" w:rsidR="00CF1A9A" w:rsidRPr="008A54DF" w:rsidRDefault="00CF1A9A" w:rsidP="00CF1A9A"/>
    <w:p w14:paraId="6BAE25C2" w14:textId="77777777" w:rsidR="00CF1A9A" w:rsidRDefault="00CF1A9A" w:rsidP="00CF1A9A">
      <w:pPr>
        <w:pStyle w:val="ListParagraph"/>
        <w:numPr>
          <w:ilvl w:val="0"/>
          <w:numId w:val="23"/>
        </w:numPr>
      </w:pPr>
      <w:r>
        <w:t>Key vocabulary often used in describing the binding of drugs and small molecules to their target receptors is included in Box 2.</w:t>
      </w:r>
    </w:p>
    <w:p w14:paraId="12EB8482" w14:textId="77777777" w:rsidR="00CF1A9A" w:rsidRDefault="00CF1A9A" w:rsidP="00CF1A9A"/>
    <w:p w14:paraId="70471A9C" w14:textId="77777777" w:rsidR="00CF1A9A" w:rsidRDefault="00CF1A9A" w:rsidP="00CF1A9A">
      <w:r w:rsidRPr="008A54DF">
        <w:rPr>
          <w:noProof/>
        </w:rPr>
        <mc:AlternateContent>
          <mc:Choice Requires="wps">
            <w:drawing>
              <wp:inline distT="0" distB="0" distL="0" distR="0" wp14:anchorId="40DD7309" wp14:editId="0A92E774">
                <wp:extent cx="5835535" cy="1399592"/>
                <wp:effectExtent l="0" t="0" r="6985" b="10160"/>
                <wp:docPr id="1" name="Text Box 1"/>
                <wp:cNvGraphicFramePr/>
                <a:graphic xmlns:a="http://schemas.openxmlformats.org/drawingml/2006/main">
                  <a:graphicData uri="http://schemas.microsoft.com/office/word/2010/wordprocessingShape">
                    <wps:wsp>
                      <wps:cNvSpPr txBox="1"/>
                      <wps:spPr>
                        <a:xfrm>
                          <a:off x="0" y="0"/>
                          <a:ext cx="5835535" cy="1399592"/>
                        </a:xfrm>
                        <a:prstGeom prst="rect">
                          <a:avLst/>
                        </a:prstGeom>
                        <a:solidFill>
                          <a:schemeClr val="bg2"/>
                        </a:solidFill>
                        <a:ln w="6350">
                          <a:solidFill>
                            <a:prstClr val="black"/>
                          </a:solidFill>
                        </a:ln>
                      </wps:spPr>
                      <wps:txbx>
                        <w:txbxContent>
                          <w:p w14:paraId="304E4F23" w14:textId="77777777" w:rsidR="00811FCB" w:rsidRPr="00502849" w:rsidRDefault="00811FCB" w:rsidP="00CF1A9A">
                            <w:pPr>
                              <w:rPr>
                                <w:i/>
                                <w:iCs/>
                              </w:rPr>
                            </w:pPr>
                            <w:r w:rsidRPr="00502849">
                              <w:rPr>
                                <w:i/>
                                <w:iCs/>
                              </w:rPr>
                              <w:t>Box 2: Vocab</w:t>
                            </w:r>
                          </w:p>
                          <w:p w14:paraId="473EC5DC" w14:textId="77777777" w:rsidR="00811FCB" w:rsidRPr="00927014" w:rsidRDefault="00811FCB" w:rsidP="00CF1A9A">
                            <w:pPr>
                              <w:ind w:left="720" w:hanging="720"/>
                            </w:pPr>
                            <w:r w:rsidRPr="00307A54">
                              <w:rPr>
                                <w:b/>
                                <w:bCs/>
                              </w:rPr>
                              <w:t>Agonists</w:t>
                            </w:r>
                            <w:r>
                              <w:t xml:space="preserve">: These are drugs or molecules that turn on the function of a protein. The natural ligand usually acts as an agonist.  </w:t>
                            </w:r>
                          </w:p>
                          <w:p w14:paraId="4E396216" w14:textId="77777777" w:rsidR="00811FCB" w:rsidRPr="00927014" w:rsidRDefault="00811FCB" w:rsidP="00CF1A9A">
                            <w:r w:rsidRPr="00307A54">
                              <w:rPr>
                                <w:b/>
                                <w:bCs/>
                              </w:rPr>
                              <w:t>Antagonists</w:t>
                            </w:r>
                            <w:r>
                              <w:t>: These are drugs or molecules that decrease or inhibit the function of a protein.</w:t>
                            </w:r>
                          </w:p>
                          <w:p w14:paraId="0A74C5AE" w14:textId="77777777" w:rsidR="00811FCB" w:rsidRDefault="00811FCB" w:rsidP="00CF1A9A">
                            <w:r>
                              <w:rPr>
                                <w:b/>
                                <w:bCs/>
                              </w:rPr>
                              <w:t>Allosteric modulators</w:t>
                            </w:r>
                            <w:r>
                              <w:t xml:space="preserve">: The word root “allo” means “other”. These are drugs or molecules that bind at a location other than the natural ligand’s binding site. Modulators could be positive (increase activity of the protein) or negative (decrease its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DD7309" id="_x0000_t202" coordsize="21600,21600" o:spt="202" path="m,l,21600r21600,l21600,xe">
                <v:stroke joinstyle="miter"/>
                <v:path gradientshapeok="t" o:connecttype="rect"/>
              </v:shapetype>
              <v:shape id="Text Box 1" o:spid="_x0000_s1026" type="#_x0000_t202" style="width:459.5pt;height:1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" fillcolor="#e7e6e6 [3214]" strokeweight=".5pt">
                <v:textbox>
                  <w:txbxContent>
                    <w:p w14:paraId="304E4F23" w14:textId="77777777" w:rsidR="00811FCB" w:rsidRPr="00502849" w:rsidRDefault="00811FCB" w:rsidP="00CF1A9A">
                      <w:pPr>
                        <w:rPr>
                          <w:i/>
                          <w:iCs/>
                        </w:rPr>
                      </w:pPr>
                      <w:r w:rsidRPr="00502849">
                        <w:rPr>
                          <w:i/>
                          <w:iCs/>
                        </w:rPr>
                        <w:t>Box 2: Vocab</w:t>
                      </w:r>
                    </w:p>
                    <w:p w14:paraId="473EC5DC" w14:textId="77777777" w:rsidR="00811FCB" w:rsidRPr="00927014" w:rsidRDefault="00811FCB" w:rsidP="00CF1A9A">
                      <w:pPr>
                        <w:ind w:left="720" w:hanging="720"/>
                      </w:pPr>
                      <w:r w:rsidRPr="00307A54">
                        <w:rPr>
                          <w:b/>
                          <w:bCs/>
                        </w:rPr>
                        <w:t>Agonists</w:t>
                      </w:r>
                      <w:r>
                        <w:t xml:space="preserve">: These are drugs or molecules that turn on the function of a protein. The natural ligand usually acts as an agonist.  </w:t>
                      </w:r>
                    </w:p>
                    <w:p w14:paraId="4E396216" w14:textId="77777777" w:rsidR="00811FCB" w:rsidRPr="00927014" w:rsidRDefault="00811FCB" w:rsidP="00CF1A9A">
                      <w:r w:rsidRPr="00307A54">
                        <w:rPr>
                          <w:b/>
                          <w:bCs/>
                        </w:rPr>
                        <w:t>Antagonists</w:t>
                      </w:r>
                      <w:r>
                        <w:t>: These are drugs or molecules that decrease or inhibit the function of a protein.</w:t>
                      </w:r>
                    </w:p>
                    <w:p w14:paraId="0A74C5AE" w14:textId="77777777" w:rsidR="00811FCB" w:rsidRDefault="00811FCB" w:rsidP="00CF1A9A">
                      <w:r>
                        <w:rPr>
                          <w:b/>
                          <w:bCs/>
                        </w:rPr>
                        <w:t>Allosteric modulators</w:t>
                      </w:r>
                      <w:r>
                        <w:t xml:space="preserve">: The word root “allo” means “other”. These are drugs or molecules that bind at a location other than the natural ligand’s binding site. Modulators could be positive (increase activity of the protein) or negative (decrease its activity). </w:t>
                      </w:r>
                    </w:p>
                  </w:txbxContent>
                </v:textbox>
                <w10:anchorlock/>
              </v:shape>
            </w:pict>
          </mc:Fallback>
        </mc:AlternateContent>
      </w:r>
    </w:p>
    <w:p w14:paraId="4DD0BF65" w14:textId="77777777" w:rsidR="00CF1A9A" w:rsidRDefault="00CF1A9A" w:rsidP="00CF1A9A"/>
    <w:p w14:paraId="4F08C584" w14:textId="2F75B938" w:rsidR="00CF1A9A" w:rsidRDefault="00CF1A9A" w:rsidP="00CF1A9A">
      <w:r>
        <w:t>Back to Anna’s case - A</w:t>
      </w:r>
      <w:r w:rsidRPr="008A54DF">
        <w:t>fter excluding known causes of sleepiness</w:t>
      </w:r>
      <w:r>
        <w:t>,</w:t>
      </w:r>
      <w:r w:rsidRPr="008A54DF">
        <w:t xml:space="preserve"> </w:t>
      </w:r>
      <w:r>
        <w:t>doctors stopped all stimulants and drugs that were being prescribed to Anna to collect a sample of her</w:t>
      </w:r>
      <w:r w:rsidRPr="008A54DF">
        <w:t xml:space="preserve"> cerebrospinal fluid (CSF)</w:t>
      </w:r>
      <w:r>
        <w:t xml:space="preserve">. The doctors were looking for clues about the unique pharmacology within her sleepy brain. Researcher scientists analyzed her sample along with 31 similarly </w:t>
      </w:r>
      <w:r w:rsidRPr="008A54DF">
        <w:t xml:space="preserve">hypersomnolent patients </w:t>
      </w:r>
      <w:r>
        <w:t xml:space="preserve">and found </w:t>
      </w:r>
      <w:r w:rsidRPr="008A54DF">
        <w:t>a substance that increased GABA-A receptor function in cultured cells</w:t>
      </w:r>
      <w:r>
        <w:t>!</w:t>
      </w:r>
      <w:r w:rsidRPr="008A54DF">
        <w:t xml:space="preserve"> </w:t>
      </w:r>
    </w:p>
    <w:p w14:paraId="5216D235" w14:textId="635D4751" w:rsidR="00CF1A9A" w:rsidRDefault="00CF1A9A" w:rsidP="00CF1A9A">
      <w:r>
        <w:t>Let’s</w:t>
      </w:r>
      <w:r w:rsidRPr="008A54DF">
        <w:t xml:space="preserve"> ex</w:t>
      </w:r>
      <w:r>
        <w:t>amine</w:t>
      </w:r>
      <w:r w:rsidRPr="008A54DF">
        <w:t xml:space="preserve"> </w:t>
      </w:r>
      <w:r>
        <w:t>some key evidence that s</w:t>
      </w:r>
      <w:r w:rsidRPr="008A54DF">
        <w:t xml:space="preserve">cientists </w:t>
      </w:r>
      <w:r>
        <w:t xml:space="preserve">gathered to help understand </w:t>
      </w:r>
      <w:r w:rsidRPr="008A54DF">
        <w:t xml:space="preserve">Anna’s case. </w:t>
      </w:r>
    </w:p>
    <w:p w14:paraId="0C85E4E4" w14:textId="77777777" w:rsidR="00503F19" w:rsidRPr="008A54DF" w:rsidRDefault="00503F19" w:rsidP="00CF1A9A"/>
    <w:p w14:paraId="508B2354" w14:textId="77777777" w:rsidR="00CF1A9A" w:rsidRPr="008A54DF" w:rsidRDefault="00CF1A9A" w:rsidP="00CF1A9A">
      <w:r w:rsidRPr="008A54DF">
        <w:rPr>
          <w:noProof/>
        </w:rPr>
        <mc:AlternateContent>
          <mc:Choice Requires="wps">
            <w:drawing>
              <wp:anchor distT="0" distB="0" distL="114300" distR="114300" simplePos="0" relativeHeight="251695104" behindDoc="0" locked="0" layoutInCell="1" allowOverlap="1" wp14:anchorId="64DC99C5" wp14:editId="76027BF6">
                <wp:simplePos x="0" y="0"/>
                <wp:positionH relativeFrom="column">
                  <wp:posOffset>59267</wp:posOffset>
                </wp:positionH>
                <wp:positionV relativeFrom="paragraph">
                  <wp:posOffset>50165</wp:posOffset>
                </wp:positionV>
                <wp:extent cx="5843847" cy="2734733"/>
                <wp:effectExtent l="0" t="0" r="11430" b="8890"/>
                <wp:wrapNone/>
                <wp:docPr id="19" name="Text Box 19"/>
                <wp:cNvGraphicFramePr/>
                <a:graphic xmlns:a="http://schemas.openxmlformats.org/drawingml/2006/main">
                  <a:graphicData uri="http://schemas.microsoft.com/office/word/2010/wordprocessingShape">
                    <wps:wsp>
                      <wps:cNvSpPr txBox="1"/>
                      <wps:spPr>
                        <a:xfrm>
                          <a:off x="0" y="0"/>
                          <a:ext cx="5843847" cy="2734733"/>
                        </a:xfrm>
                        <a:prstGeom prst="rect">
                          <a:avLst/>
                        </a:prstGeom>
                        <a:solidFill>
                          <a:schemeClr val="lt1"/>
                        </a:solidFill>
                        <a:ln w="6350">
                          <a:solidFill>
                            <a:prstClr val="black"/>
                          </a:solidFill>
                        </a:ln>
                      </wps:spPr>
                      <wps:txbx>
                        <w:txbxContent>
                          <w:p w14:paraId="0215493C" w14:textId="77777777" w:rsidR="00811FCB" w:rsidRDefault="00811FCB" w:rsidP="00CF1A9A">
                            <w:pPr>
                              <w:shd w:val="clear" w:color="auto" w:fill="E7E6E6" w:themeFill="background2"/>
                            </w:pPr>
                            <w:r>
                              <w:rPr>
                                <w:i/>
                                <w:iCs/>
                              </w:rPr>
                              <w:t>Box 8: Experimental techniques</w:t>
                            </w:r>
                          </w:p>
                          <w:p w14:paraId="05A72365" w14:textId="77777777" w:rsidR="00811FCB" w:rsidRDefault="00811FCB" w:rsidP="00CF1A9A">
                            <w:pPr>
                              <w:shd w:val="clear" w:color="auto" w:fill="E7E6E6" w:themeFill="background2"/>
                            </w:pPr>
                            <w:r>
                              <w:t>Ions, like Na</w:t>
                            </w:r>
                            <w:r w:rsidRPr="00AC7BE7">
                              <w:rPr>
                                <w:vertAlign w:val="superscript"/>
                              </w:rPr>
                              <w:t>+</w:t>
                            </w:r>
                            <w:r>
                              <w:t>, K</w:t>
                            </w:r>
                            <w:r w:rsidRPr="00AC7BE7">
                              <w:rPr>
                                <w:vertAlign w:val="superscript"/>
                              </w:rPr>
                              <w:t>+</w:t>
                            </w:r>
                            <w:r>
                              <w:t>, Ca</w:t>
                            </w:r>
                            <w:r w:rsidRPr="00AC7BE7">
                              <w:rPr>
                                <w:vertAlign w:val="superscript"/>
                              </w:rPr>
                              <w:t>2+</w:t>
                            </w:r>
                            <w:r>
                              <w:t>, and Cl</w:t>
                            </w:r>
                            <w:r>
                              <w:rPr>
                                <w:vertAlign w:val="superscript"/>
                              </w:rPr>
                              <w:t>−</w:t>
                            </w:r>
                            <w:r>
                              <w:t xml:space="preserve">, are present in different concentrations inside and outside neuronal cells leading to a </w:t>
                            </w:r>
                            <w:r w:rsidRPr="00B64EEE">
                              <w:rPr>
                                <w:b/>
                                <w:bCs/>
                              </w:rPr>
                              <w:t>membrane potential</w:t>
                            </w:r>
                            <w:r>
                              <w:rPr>
                                <w:b/>
                                <w:bCs/>
                              </w:rPr>
                              <w:t xml:space="preserve"> </w:t>
                            </w:r>
                            <w:r w:rsidRPr="00AC7BE7">
                              <w:rPr>
                                <w:bCs/>
                              </w:rPr>
                              <w:t>difference</w:t>
                            </w:r>
                            <w:r>
                              <w:rPr>
                                <w:bCs/>
                              </w:rPr>
                              <w:t xml:space="preserve"> in charge</w:t>
                            </w:r>
                            <w:r>
                              <w:t xml:space="preserve">. When channels are open, ions can move across cellular membranes according to the concentration and electrical gradients, leading to rapid and transient changes in distribution of these charged particles. Movement of ions is recorded as </w:t>
                            </w:r>
                            <w:r w:rsidRPr="00AC7BE7">
                              <w:rPr>
                                <w:b/>
                              </w:rPr>
                              <w:t>current</w:t>
                            </w:r>
                            <w:r>
                              <w:rPr>
                                <w:b/>
                              </w:rPr>
                              <w:t xml:space="preserve"> </w:t>
                            </w:r>
                            <w:r>
                              <w:rPr>
                                <w:bCs/>
                              </w:rPr>
                              <w:t xml:space="preserve">and </w:t>
                            </w:r>
                            <w:r>
                              <w:t xml:space="preserve">these electrical signals are transmitted through neurons to trigger physiological changes. </w:t>
                            </w:r>
                          </w:p>
                          <w:p w14:paraId="78058DB1" w14:textId="77777777" w:rsidR="00811FCB" w:rsidRDefault="00811FCB" w:rsidP="00CF1A9A">
                            <w:pPr>
                              <w:shd w:val="clear" w:color="auto" w:fill="E7E6E6" w:themeFill="background2"/>
                            </w:pPr>
                            <w:r w:rsidRPr="00AC7BE7">
                              <w:rPr>
                                <w:b/>
                              </w:rPr>
                              <w:t>Patch clamp</w:t>
                            </w:r>
                            <w:r>
                              <w:t xml:space="preserve"> is an experimental technique used to measure changes in electrical properties of cell membranes to determine whether or not the channels in these receptors are open or closed in the presence of different ligands.</w:t>
                            </w:r>
                          </w:p>
                          <w:p w14:paraId="5CDD244E" w14:textId="57ED49DF" w:rsidR="00811FCB" w:rsidRDefault="00811FCB" w:rsidP="00CF1A9A">
                            <w:pPr>
                              <w:shd w:val="clear" w:color="auto" w:fill="E7E6E6" w:themeFill="background2"/>
                            </w:pPr>
                            <w:r>
                              <w:t>When GABA-A receptor channels are closed there is a baseline reading. In these experiments, GABA and/or other GABA-A receptor agonists open the chloride channels to let negative ions (Cl</w:t>
                            </w:r>
                            <w:r>
                              <w:rPr>
                                <w:vertAlign w:val="superscript"/>
                              </w:rPr>
                              <w:t>−</w:t>
                            </w:r>
                            <w:r>
                              <w:t>) into the cells. The patch clamp records this entry of Cl</w:t>
                            </w:r>
                            <w:r>
                              <w:rPr>
                                <w:vertAlign w:val="superscript"/>
                              </w:rPr>
                              <w:t>−</w:t>
                            </w:r>
                            <w:r>
                              <w:t xml:space="preserve"> ions as a downward deflection from the baseline. The larger the deflection (or dip) in the recording the more the Cl</w:t>
                            </w:r>
                            <w:r>
                              <w:rPr>
                                <w:vertAlign w:val="superscript"/>
                              </w:rPr>
                              <w:t>−</w:t>
                            </w:r>
                            <w:r>
                              <w:t xml:space="preserve"> ions have entered, inhibiting the neuron.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DC99C5" id="Text Box 19" o:spid="_x0000_s1027" type="#_x0000_t202" style="position:absolute;margin-left:4.65pt;margin-top:3.95pt;width:460.15pt;height:215.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" fillcolor="white [3201]" strokeweight=".5pt">
                <v:textbox>
                  <w:txbxContent>
                    <w:p w14:paraId="0215493C" w14:textId="77777777" w:rsidR="00811FCB" w:rsidRDefault="00811FCB" w:rsidP="00CF1A9A">
                      <w:pPr>
                        <w:shd w:val="clear" w:color="auto" w:fill="E7E6E6" w:themeFill="background2"/>
                      </w:pPr>
                      <w:r>
                        <w:rPr>
                          <w:i/>
                          <w:iCs/>
                        </w:rPr>
                        <w:t>Box 8: Experimental techniques</w:t>
                      </w:r>
                    </w:p>
                    <w:p w14:paraId="05A72365" w14:textId="77777777" w:rsidR="00811FCB" w:rsidRDefault="00811FCB" w:rsidP="00CF1A9A">
                      <w:pPr>
                        <w:shd w:val="clear" w:color="auto" w:fill="E7E6E6" w:themeFill="background2"/>
                      </w:pPr>
                      <w:r>
                        <w:t>Ions, like Na</w:t>
                      </w:r>
                      <w:r w:rsidRPr="00AC7BE7">
                        <w:rPr>
                          <w:vertAlign w:val="superscript"/>
                        </w:rPr>
                        <w:t>+</w:t>
                      </w:r>
                      <w:r>
                        <w:t>, K</w:t>
                      </w:r>
                      <w:r w:rsidRPr="00AC7BE7">
                        <w:rPr>
                          <w:vertAlign w:val="superscript"/>
                        </w:rPr>
                        <w:t>+</w:t>
                      </w:r>
                      <w:r>
                        <w:t>, Ca</w:t>
                      </w:r>
                      <w:r w:rsidRPr="00AC7BE7">
                        <w:rPr>
                          <w:vertAlign w:val="superscript"/>
                        </w:rPr>
                        <w:t>2+</w:t>
                      </w:r>
                      <w:r>
                        <w:t>, and Cl</w:t>
                      </w:r>
                      <w:r>
                        <w:rPr>
                          <w:vertAlign w:val="superscript"/>
                        </w:rPr>
                        <w:t>−</w:t>
                      </w:r>
                      <w:r>
                        <w:t xml:space="preserve">, are present in different concentrations inside and outside neuronal cells leading to a </w:t>
                      </w:r>
                      <w:r w:rsidRPr="00B64EEE">
                        <w:rPr>
                          <w:b/>
                          <w:bCs/>
                        </w:rPr>
                        <w:t>membrane potential</w:t>
                      </w:r>
                      <w:r>
                        <w:rPr>
                          <w:b/>
                          <w:bCs/>
                        </w:rPr>
                        <w:t xml:space="preserve"> </w:t>
                      </w:r>
                      <w:r w:rsidRPr="00AC7BE7">
                        <w:rPr>
                          <w:bCs/>
                        </w:rPr>
                        <w:t>difference</w:t>
                      </w:r>
                      <w:r>
                        <w:rPr>
                          <w:bCs/>
                        </w:rPr>
                        <w:t xml:space="preserve"> in charge</w:t>
                      </w:r>
                      <w:r>
                        <w:t xml:space="preserve">. When channels are open, ions can move across cellular membranes according to the concentration and electrical gradients, leading to rapid and transient changes in distribution of these charged particles. Movement of ions is recorded as </w:t>
                      </w:r>
                      <w:r w:rsidRPr="00AC7BE7">
                        <w:rPr>
                          <w:b/>
                        </w:rPr>
                        <w:t>current</w:t>
                      </w:r>
                      <w:r>
                        <w:rPr>
                          <w:b/>
                        </w:rPr>
                        <w:t xml:space="preserve"> </w:t>
                      </w:r>
                      <w:r>
                        <w:rPr>
                          <w:bCs/>
                        </w:rPr>
                        <w:t xml:space="preserve">and </w:t>
                      </w:r>
                      <w:r>
                        <w:t xml:space="preserve">these electrical signals are transmitted through neurons to trigger physiological changes. </w:t>
                      </w:r>
                    </w:p>
                    <w:p w14:paraId="78058DB1" w14:textId="77777777" w:rsidR="00811FCB" w:rsidRDefault="00811FCB" w:rsidP="00CF1A9A">
                      <w:pPr>
                        <w:shd w:val="clear" w:color="auto" w:fill="E7E6E6" w:themeFill="background2"/>
                      </w:pPr>
                      <w:r w:rsidRPr="00AC7BE7">
                        <w:rPr>
                          <w:b/>
                        </w:rPr>
                        <w:t>Patch clamp</w:t>
                      </w:r>
                      <w:r>
                        <w:t xml:space="preserve"> is an experimental technique used to measure changes in electrical properties of cell membranes to determine whether or not the channels in these receptors are open or closed in the presence of different ligands.</w:t>
                      </w:r>
                    </w:p>
                    <w:p w14:paraId="5CDD244E" w14:textId="57ED49DF" w:rsidR="00811FCB" w:rsidRDefault="00811FCB" w:rsidP="00CF1A9A">
                      <w:pPr>
                        <w:shd w:val="clear" w:color="auto" w:fill="E7E6E6" w:themeFill="background2"/>
                      </w:pPr>
                      <w:r>
                        <w:t>When GABA-A receptor channels are closed there is a baseline reading. In these experiments, GABA and/or other GABA-A receptor agonists open the chloride channels to let negative ions (Cl</w:t>
                      </w:r>
                      <w:r>
                        <w:rPr>
                          <w:vertAlign w:val="superscript"/>
                        </w:rPr>
                        <w:t>−</w:t>
                      </w:r>
                      <w:r>
                        <w:t>) into the cells. The patch clamp records this entry of Cl</w:t>
                      </w:r>
                      <w:r>
                        <w:rPr>
                          <w:vertAlign w:val="superscript"/>
                        </w:rPr>
                        <w:t>−</w:t>
                      </w:r>
                      <w:r>
                        <w:t xml:space="preserve"> ions as a downward deflection from the baseline. The larger the deflection (or dip) in the recording the more the Cl</w:t>
                      </w:r>
                      <w:r>
                        <w:rPr>
                          <w:vertAlign w:val="superscript"/>
                        </w:rPr>
                        <w:t>−</w:t>
                      </w:r>
                      <w:r>
                        <w:t xml:space="preserve"> ions have entered, inhibiting the neuron.  </w:t>
                      </w:r>
                    </w:p>
                  </w:txbxContent>
                </v:textbox>
              </v:shape>
            </w:pict>
          </mc:Fallback>
        </mc:AlternateContent>
      </w:r>
    </w:p>
    <w:p w14:paraId="04D732D3" w14:textId="77777777" w:rsidR="00CF1A9A" w:rsidRPr="008A54DF" w:rsidRDefault="00CF1A9A" w:rsidP="00CF1A9A"/>
    <w:p w14:paraId="4EC56BF1" w14:textId="77777777" w:rsidR="00CF1A9A" w:rsidRPr="008A54DF" w:rsidRDefault="00CF1A9A" w:rsidP="00CF1A9A"/>
    <w:p w14:paraId="06CAEB99" w14:textId="77777777" w:rsidR="00CF1A9A" w:rsidRPr="008A54DF" w:rsidRDefault="00CF1A9A" w:rsidP="00CF1A9A"/>
    <w:p w14:paraId="31BD0767" w14:textId="77777777" w:rsidR="00CF1A9A" w:rsidRPr="008A54DF" w:rsidRDefault="00CF1A9A" w:rsidP="00CF1A9A"/>
    <w:p w14:paraId="3BD1C473" w14:textId="77777777" w:rsidR="00CF1A9A" w:rsidRPr="008A54DF" w:rsidRDefault="00CF1A9A" w:rsidP="00CF1A9A"/>
    <w:p w14:paraId="796A34EF" w14:textId="77777777" w:rsidR="00CF1A9A" w:rsidRPr="008A54DF" w:rsidRDefault="00CF1A9A" w:rsidP="00CF1A9A"/>
    <w:p w14:paraId="7A7DA7C3" w14:textId="77777777" w:rsidR="00CF1A9A" w:rsidRPr="008A54DF" w:rsidRDefault="00CF1A9A" w:rsidP="00CF1A9A"/>
    <w:p w14:paraId="4199D641" w14:textId="77777777" w:rsidR="00CF1A9A" w:rsidRPr="008A54DF" w:rsidRDefault="00CF1A9A" w:rsidP="00CF1A9A"/>
    <w:p w14:paraId="45BD638A" w14:textId="77777777" w:rsidR="00CF1A9A" w:rsidRPr="008A54DF" w:rsidRDefault="00CF1A9A" w:rsidP="00CF1A9A"/>
    <w:p w14:paraId="0DA07C81" w14:textId="77777777" w:rsidR="00CF1A9A" w:rsidRPr="008A54DF" w:rsidRDefault="00CF1A9A" w:rsidP="00CF1A9A"/>
    <w:p w14:paraId="60D50C65" w14:textId="77777777" w:rsidR="00CF1A9A" w:rsidRPr="008A54DF" w:rsidRDefault="00CF1A9A" w:rsidP="00CF1A9A"/>
    <w:p w14:paraId="68496CFC" w14:textId="77777777" w:rsidR="00CF1A9A" w:rsidRPr="008A54DF" w:rsidRDefault="00CF1A9A" w:rsidP="00CF1A9A"/>
    <w:p w14:paraId="63E6E7C5" w14:textId="77777777" w:rsidR="00CF1A9A" w:rsidRPr="008A54DF" w:rsidRDefault="00CF1A9A" w:rsidP="00CF1A9A"/>
    <w:p w14:paraId="2C5663CF" w14:textId="77777777" w:rsidR="00CF1A9A" w:rsidRPr="008A54DF" w:rsidRDefault="00CF1A9A" w:rsidP="00CF1A9A"/>
    <w:p w14:paraId="093FBD9E" w14:textId="77777777" w:rsidR="00CF1A9A" w:rsidRPr="008A54DF" w:rsidRDefault="00CF1A9A" w:rsidP="00CF1A9A"/>
    <w:p w14:paraId="6D59F976" w14:textId="77777777" w:rsidR="00CF1A9A" w:rsidRDefault="00CF1A9A" w:rsidP="00CF1A9A"/>
    <w:p w14:paraId="2FC4245F" w14:textId="77777777" w:rsidR="00CF1A9A" w:rsidRDefault="00CF1A9A" w:rsidP="00CF1A9A"/>
    <w:p w14:paraId="3B870080" w14:textId="77777777" w:rsidR="00503F19" w:rsidRDefault="00503F19">
      <w:r>
        <w:br w:type="page"/>
      </w:r>
    </w:p>
    <w:p w14:paraId="12B417C6" w14:textId="07AAB8FA" w:rsidR="00CF1A9A" w:rsidRDefault="00CF1A9A" w:rsidP="00CF1A9A">
      <w:r>
        <w:lastRenderedPageBreak/>
        <w:t>Scientists</w:t>
      </w:r>
      <w:r w:rsidRPr="00BB7E48">
        <w:t xml:space="preserve"> used patch clamp electrical recordings</w:t>
      </w:r>
      <w:r>
        <w:t xml:space="preserve"> </w:t>
      </w:r>
      <w:r w:rsidRPr="00BB7E48">
        <w:t xml:space="preserve">on </w:t>
      </w:r>
      <w:r>
        <w:t>a specific cell line with GABA-A receptors to measure currents trigger</w:t>
      </w:r>
      <w:r w:rsidRPr="00BB7E48">
        <w:t xml:space="preserve">ed by </w:t>
      </w:r>
      <w:r>
        <w:t>the following:</w:t>
      </w:r>
    </w:p>
    <w:p w14:paraId="2200B071" w14:textId="77777777" w:rsidR="00CF1A9A" w:rsidRDefault="00CF1A9A" w:rsidP="00CF1A9A"/>
    <w:tbl>
      <w:tblPr>
        <w:tblStyle w:val="TableGrid"/>
        <w:tblW w:w="0" w:type="auto"/>
        <w:tblLook w:val="04A0" w:firstRow="1" w:lastRow="0" w:firstColumn="1" w:lastColumn="0" w:noHBand="0" w:noVBand="1"/>
      </w:tblPr>
      <w:tblGrid>
        <w:gridCol w:w="816"/>
        <w:gridCol w:w="4486"/>
        <w:gridCol w:w="4048"/>
      </w:tblGrid>
      <w:tr w:rsidR="00CF1A9A" w:rsidRPr="00503F19" w14:paraId="7D5C7186" w14:textId="77777777" w:rsidTr="00811FCB">
        <w:tc>
          <w:tcPr>
            <w:tcW w:w="625" w:type="dxa"/>
          </w:tcPr>
          <w:p w14:paraId="0F7DAAA8" w14:textId="77777777" w:rsidR="00CF1A9A" w:rsidRPr="00503F19" w:rsidRDefault="00CF1A9A" w:rsidP="00811FCB">
            <w:pPr>
              <w:rPr>
                <w:b/>
              </w:rPr>
            </w:pPr>
            <w:r w:rsidRPr="00503F19">
              <w:rPr>
                <w:b/>
              </w:rPr>
              <w:t xml:space="preserve">Trace </w:t>
            </w:r>
          </w:p>
        </w:tc>
        <w:tc>
          <w:tcPr>
            <w:tcW w:w="4590" w:type="dxa"/>
          </w:tcPr>
          <w:p w14:paraId="6308AD12" w14:textId="77777777" w:rsidR="00CF1A9A" w:rsidRPr="00503F19" w:rsidRDefault="00CF1A9A" w:rsidP="00811FCB">
            <w:pPr>
              <w:rPr>
                <w:b/>
              </w:rPr>
            </w:pPr>
            <w:r w:rsidRPr="00503F19">
              <w:rPr>
                <w:b/>
              </w:rPr>
              <w:t>What was added</w:t>
            </w:r>
          </w:p>
        </w:tc>
        <w:tc>
          <w:tcPr>
            <w:tcW w:w="4135" w:type="dxa"/>
          </w:tcPr>
          <w:p w14:paraId="5EE474A9" w14:textId="77777777" w:rsidR="00CF1A9A" w:rsidRPr="00503F19" w:rsidRDefault="00CF1A9A" w:rsidP="00811FCB">
            <w:pPr>
              <w:rPr>
                <w:b/>
              </w:rPr>
            </w:pPr>
            <w:r w:rsidRPr="00503F19">
              <w:rPr>
                <w:b/>
              </w:rPr>
              <w:t>Why was it added</w:t>
            </w:r>
          </w:p>
        </w:tc>
      </w:tr>
      <w:tr w:rsidR="00CF1A9A" w14:paraId="19F2C69D" w14:textId="77777777" w:rsidTr="00811FCB">
        <w:tc>
          <w:tcPr>
            <w:tcW w:w="625" w:type="dxa"/>
          </w:tcPr>
          <w:p w14:paraId="5E7C24BA" w14:textId="77777777" w:rsidR="00CF1A9A" w:rsidRPr="00503F19" w:rsidRDefault="00CF1A9A" w:rsidP="00811FCB">
            <w:pPr>
              <w:rPr>
                <w:sz w:val="22"/>
              </w:rPr>
            </w:pPr>
            <w:r w:rsidRPr="00503F19">
              <w:rPr>
                <w:sz w:val="22"/>
              </w:rPr>
              <w:t>a</w:t>
            </w:r>
          </w:p>
        </w:tc>
        <w:tc>
          <w:tcPr>
            <w:tcW w:w="4590" w:type="dxa"/>
          </w:tcPr>
          <w:p w14:paraId="5B99E7EF" w14:textId="77777777" w:rsidR="00CF1A9A" w:rsidRPr="00503F19" w:rsidRDefault="00CF1A9A" w:rsidP="00811FCB">
            <w:pPr>
              <w:rPr>
                <w:sz w:val="22"/>
              </w:rPr>
            </w:pPr>
            <w:r w:rsidRPr="00503F19">
              <w:rPr>
                <w:sz w:val="22"/>
              </w:rPr>
              <w:t>10 μM GABA alone</w:t>
            </w:r>
          </w:p>
        </w:tc>
        <w:tc>
          <w:tcPr>
            <w:tcW w:w="4135" w:type="dxa"/>
          </w:tcPr>
          <w:p w14:paraId="3A639909" w14:textId="77777777" w:rsidR="00CF1A9A" w:rsidRPr="00503F19" w:rsidRDefault="00CF1A9A" w:rsidP="00811FCB">
            <w:pPr>
              <w:rPr>
                <w:sz w:val="22"/>
              </w:rPr>
            </w:pPr>
            <w:r w:rsidRPr="00503F19">
              <w:rPr>
                <w:sz w:val="22"/>
              </w:rPr>
              <w:t>control to establish a baseline</w:t>
            </w:r>
          </w:p>
        </w:tc>
      </w:tr>
      <w:tr w:rsidR="00CF1A9A" w14:paraId="2AFC1E2E" w14:textId="77777777" w:rsidTr="00811FCB">
        <w:tc>
          <w:tcPr>
            <w:tcW w:w="625" w:type="dxa"/>
          </w:tcPr>
          <w:p w14:paraId="11BA2E6F" w14:textId="77777777" w:rsidR="00CF1A9A" w:rsidRPr="00503F19" w:rsidRDefault="00CF1A9A" w:rsidP="00811FCB">
            <w:pPr>
              <w:rPr>
                <w:sz w:val="22"/>
              </w:rPr>
            </w:pPr>
            <w:r w:rsidRPr="00503F19">
              <w:rPr>
                <w:sz w:val="22"/>
              </w:rPr>
              <w:t>b</w:t>
            </w:r>
          </w:p>
        </w:tc>
        <w:tc>
          <w:tcPr>
            <w:tcW w:w="4590" w:type="dxa"/>
          </w:tcPr>
          <w:p w14:paraId="2E94110C" w14:textId="77777777" w:rsidR="00CF1A9A" w:rsidRPr="00503F19" w:rsidRDefault="00CF1A9A" w:rsidP="00811FCB">
            <w:pPr>
              <w:rPr>
                <w:sz w:val="22"/>
              </w:rPr>
            </w:pPr>
            <w:r w:rsidRPr="00503F19">
              <w:rPr>
                <w:sz w:val="22"/>
              </w:rPr>
              <w:t>Hypersomnolent patient CSF alone</w:t>
            </w:r>
          </w:p>
        </w:tc>
        <w:tc>
          <w:tcPr>
            <w:tcW w:w="4135" w:type="dxa"/>
          </w:tcPr>
          <w:p w14:paraId="015EC019" w14:textId="77777777" w:rsidR="00CF1A9A" w:rsidRPr="00503F19" w:rsidRDefault="00CF1A9A" w:rsidP="00811FCB">
            <w:pPr>
              <w:rPr>
                <w:sz w:val="22"/>
              </w:rPr>
            </w:pPr>
            <w:r w:rsidRPr="00503F19">
              <w:rPr>
                <w:sz w:val="22"/>
              </w:rPr>
              <w:t>To see if the CSF factor can work alone</w:t>
            </w:r>
          </w:p>
        </w:tc>
      </w:tr>
      <w:tr w:rsidR="00CF1A9A" w14:paraId="4644C84B" w14:textId="77777777" w:rsidTr="00811FCB">
        <w:tc>
          <w:tcPr>
            <w:tcW w:w="625" w:type="dxa"/>
          </w:tcPr>
          <w:p w14:paraId="251E8CCD" w14:textId="77777777" w:rsidR="00CF1A9A" w:rsidRPr="00503F19" w:rsidRDefault="00CF1A9A" w:rsidP="00811FCB">
            <w:pPr>
              <w:rPr>
                <w:sz w:val="22"/>
              </w:rPr>
            </w:pPr>
            <w:r w:rsidRPr="00503F19">
              <w:rPr>
                <w:sz w:val="22"/>
              </w:rPr>
              <w:t>c</w:t>
            </w:r>
          </w:p>
        </w:tc>
        <w:tc>
          <w:tcPr>
            <w:tcW w:w="4590" w:type="dxa"/>
          </w:tcPr>
          <w:p w14:paraId="200C5B65" w14:textId="77777777" w:rsidR="00CF1A9A" w:rsidRPr="00503F19" w:rsidRDefault="00CF1A9A" w:rsidP="00811FCB">
            <w:pPr>
              <w:rPr>
                <w:sz w:val="22"/>
              </w:rPr>
            </w:pPr>
            <w:r w:rsidRPr="00503F19">
              <w:rPr>
                <w:sz w:val="22"/>
              </w:rPr>
              <w:t>Hypersomnolent patient CSF + 10 μM GABA</w:t>
            </w:r>
          </w:p>
        </w:tc>
        <w:tc>
          <w:tcPr>
            <w:tcW w:w="4135" w:type="dxa"/>
          </w:tcPr>
          <w:p w14:paraId="151AF564" w14:textId="77777777" w:rsidR="00CF1A9A" w:rsidRPr="00503F19" w:rsidRDefault="00CF1A9A" w:rsidP="00811FCB">
            <w:pPr>
              <w:rPr>
                <w:sz w:val="22"/>
              </w:rPr>
            </w:pPr>
            <w:r w:rsidRPr="00503F19">
              <w:rPr>
                <w:sz w:val="22"/>
              </w:rPr>
              <w:t>To see if the CSF factor impacts GABA binding and GABA-A receptor function</w:t>
            </w:r>
          </w:p>
        </w:tc>
      </w:tr>
      <w:tr w:rsidR="00CF1A9A" w14:paraId="5920121C" w14:textId="77777777" w:rsidTr="00811FCB">
        <w:tc>
          <w:tcPr>
            <w:tcW w:w="625" w:type="dxa"/>
          </w:tcPr>
          <w:p w14:paraId="57C4C7F7" w14:textId="77777777" w:rsidR="00CF1A9A" w:rsidRPr="00503F19" w:rsidRDefault="00CF1A9A" w:rsidP="00811FCB">
            <w:pPr>
              <w:rPr>
                <w:sz w:val="22"/>
              </w:rPr>
            </w:pPr>
            <w:r w:rsidRPr="00503F19">
              <w:rPr>
                <w:sz w:val="22"/>
              </w:rPr>
              <w:t>d</w:t>
            </w:r>
          </w:p>
        </w:tc>
        <w:tc>
          <w:tcPr>
            <w:tcW w:w="4590" w:type="dxa"/>
          </w:tcPr>
          <w:p w14:paraId="3338214D" w14:textId="77777777" w:rsidR="00CF1A9A" w:rsidRPr="00503F19" w:rsidRDefault="00CF1A9A" w:rsidP="00811FCB">
            <w:pPr>
              <w:rPr>
                <w:sz w:val="22"/>
              </w:rPr>
            </w:pPr>
            <w:r w:rsidRPr="00503F19">
              <w:rPr>
                <w:sz w:val="22"/>
              </w:rPr>
              <w:t xml:space="preserve">Flumazenil, a competitive antagonist + Hypersomnolent patient CSF + 10 μM GABA </w:t>
            </w:r>
          </w:p>
        </w:tc>
        <w:tc>
          <w:tcPr>
            <w:tcW w:w="4135" w:type="dxa"/>
          </w:tcPr>
          <w:p w14:paraId="0B626742" w14:textId="77777777" w:rsidR="00CF1A9A" w:rsidRPr="00503F19" w:rsidRDefault="00CF1A9A" w:rsidP="00811FCB">
            <w:pPr>
              <w:rPr>
                <w:sz w:val="22"/>
              </w:rPr>
            </w:pPr>
            <w:r w:rsidRPr="00503F19">
              <w:rPr>
                <w:sz w:val="22"/>
              </w:rPr>
              <w:t>To see if the CSF factor binds to the benzodiazepine binding site</w:t>
            </w:r>
          </w:p>
        </w:tc>
      </w:tr>
      <w:tr w:rsidR="00CF1A9A" w14:paraId="1642CF86" w14:textId="77777777" w:rsidTr="00811FCB">
        <w:tc>
          <w:tcPr>
            <w:tcW w:w="625" w:type="dxa"/>
          </w:tcPr>
          <w:p w14:paraId="3E63B2C9" w14:textId="77777777" w:rsidR="00CF1A9A" w:rsidRPr="00503F19" w:rsidRDefault="00CF1A9A" w:rsidP="00811FCB">
            <w:pPr>
              <w:rPr>
                <w:sz w:val="22"/>
              </w:rPr>
            </w:pPr>
            <w:r w:rsidRPr="00503F19">
              <w:rPr>
                <w:sz w:val="22"/>
              </w:rPr>
              <w:t>e</w:t>
            </w:r>
          </w:p>
        </w:tc>
        <w:tc>
          <w:tcPr>
            <w:tcW w:w="4590" w:type="dxa"/>
          </w:tcPr>
          <w:p w14:paraId="11CE911B" w14:textId="77777777" w:rsidR="00CF1A9A" w:rsidRPr="00503F19" w:rsidRDefault="00CF1A9A" w:rsidP="00811FCB">
            <w:pPr>
              <w:rPr>
                <w:sz w:val="22"/>
              </w:rPr>
            </w:pPr>
            <w:r w:rsidRPr="00503F19">
              <w:rPr>
                <w:sz w:val="22"/>
              </w:rPr>
              <w:t>Flumazenil, a competitive antagonist + 10 μM GABA</w:t>
            </w:r>
          </w:p>
        </w:tc>
        <w:tc>
          <w:tcPr>
            <w:tcW w:w="4135" w:type="dxa"/>
          </w:tcPr>
          <w:p w14:paraId="3CA1623F" w14:textId="77777777" w:rsidR="00CF1A9A" w:rsidRPr="00503F19" w:rsidRDefault="00CF1A9A" w:rsidP="00811FCB">
            <w:pPr>
              <w:rPr>
                <w:sz w:val="22"/>
              </w:rPr>
            </w:pPr>
            <w:r w:rsidRPr="00503F19">
              <w:rPr>
                <w:sz w:val="22"/>
              </w:rPr>
              <w:t>Control to see that Flumazenil does not interfere with GABA binding</w:t>
            </w:r>
          </w:p>
        </w:tc>
      </w:tr>
      <w:tr w:rsidR="00CF1A9A" w14:paraId="4769CB20" w14:textId="77777777" w:rsidTr="00811FCB">
        <w:tc>
          <w:tcPr>
            <w:tcW w:w="625" w:type="dxa"/>
          </w:tcPr>
          <w:p w14:paraId="1C2009D8" w14:textId="77777777" w:rsidR="00CF1A9A" w:rsidRPr="00503F19" w:rsidRDefault="00CF1A9A" w:rsidP="00811FCB">
            <w:pPr>
              <w:rPr>
                <w:sz w:val="22"/>
              </w:rPr>
            </w:pPr>
            <w:r w:rsidRPr="00503F19">
              <w:rPr>
                <w:sz w:val="22"/>
              </w:rPr>
              <w:t>f</w:t>
            </w:r>
          </w:p>
        </w:tc>
        <w:tc>
          <w:tcPr>
            <w:tcW w:w="4590" w:type="dxa"/>
          </w:tcPr>
          <w:p w14:paraId="142665DC" w14:textId="77777777" w:rsidR="00CF1A9A" w:rsidRPr="00503F19" w:rsidRDefault="00CF1A9A" w:rsidP="00811FCB">
            <w:pPr>
              <w:rPr>
                <w:sz w:val="22"/>
              </w:rPr>
            </w:pPr>
            <w:r w:rsidRPr="00503F19">
              <w:rPr>
                <w:sz w:val="22"/>
              </w:rPr>
              <w:t>normal GABA concentrations in typical CSF</w:t>
            </w:r>
          </w:p>
        </w:tc>
        <w:tc>
          <w:tcPr>
            <w:tcW w:w="4135" w:type="dxa"/>
          </w:tcPr>
          <w:p w14:paraId="201E59DA" w14:textId="77777777" w:rsidR="00CF1A9A" w:rsidRPr="00503F19" w:rsidRDefault="00CF1A9A" w:rsidP="00811FCB">
            <w:pPr>
              <w:rPr>
                <w:sz w:val="22"/>
              </w:rPr>
            </w:pPr>
            <w:r w:rsidRPr="00503F19">
              <w:rPr>
                <w:sz w:val="22"/>
              </w:rPr>
              <w:t>Control after all pharmacological agents were washed away</w:t>
            </w:r>
          </w:p>
        </w:tc>
      </w:tr>
    </w:tbl>
    <w:p w14:paraId="40A256AD" w14:textId="77777777" w:rsidR="00CF1A9A" w:rsidRDefault="00CF1A9A" w:rsidP="00CF1A9A"/>
    <w:p w14:paraId="2EE412B3" w14:textId="77777777" w:rsidR="00CF1A9A" w:rsidRDefault="00CF1A9A" w:rsidP="00CF1A9A">
      <w:r>
        <w:t>Review the chloride currents seen for each of these cases and answer the following questions.</w:t>
      </w:r>
    </w:p>
    <w:p w14:paraId="7EAE2D6C" w14:textId="77777777" w:rsidR="00CF1A9A" w:rsidRDefault="00CF1A9A" w:rsidP="00CF1A9A"/>
    <w:p w14:paraId="7B11849D" w14:textId="77777777" w:rsidR="00CF1A9A" w:rsidRPr="00BB7E48" w:rsidRDefault="00CF1A9A" w:rsidP="00CF1A9A">
      <w:r w:rsidRPr="00BB7E48">
        <w:rPr>
          <w:noProof/>
        </w:rPr>
        <w:drawing>
          <wp:inline distT="0" distB="0" distL="0" distR="0" wp14:anchorId="7E6CCA45" wp14:editId="2E98B393">
            <wp:extent cx="5771639" cy="2236510"/>
            <wp:effectExtent l="0" t="0" r="635" b="0"/>
            <wp:docPr id="37" name="Picture 37" descr="A picture containing 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diagram,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5086" cy="2237846"/>
                    </a:xfrm>
                    <a:prstGeom prst="rect">
                      <a:avLst/>
                    </a:prstGeom>
                    <a:noFill/>
                    <a:ln>
                      <a:noFill/>
                    </a:ln>
                  </pic:spPr>
                </pic:pic>
              </a:graphicData>
            </a:graphic>
          </wp:inline>
        </w:drawing>
      </w:r>
    </w:p>
    <w:p w14:paraId="6A1968F4" w14:textId="77777777" w:rsidR="00CF1A9A" w:rsidRDefault="00CF1A9A" w:rsidP="00CF1A9A"/>
    <w:p w14:paraId="6BDC4476" w14:textId="77777777" w:rsidR="00CF1A9A" w:rsidRDefault="00CF1A9A" w:rsidP="00CF1A9A">
      <w:r>
        <w:t xml:space="preserve">Figure 3. Chloride currents recorded from HEK293 cells expressing human GABA-A receptor. </w:t>
      </w:r>
      <w:r w:rsidRPr="007F7B6A">
        <w:t xml:space="preserve">Vertical </w:t>
      </w:r>
      <w:r>
        <w:t xml:space="preserve">axis (current) </w:t>
      </w:r>
      <w:r w:rsidRPr="007F7B6A">
        <w:t xml:space="preserve">calibration bars equal 200 pA (picoAmps) and horizontal </w:t>
      </w:r>
      <w:r>
        <w:t xml:space="preserve">axis (time) </w:t>
      </w:r>
      <w:r w:rsidRPr="007F7B6A">
        <w:t>calibration bars equal 5 s.</w:t>
      </w:r>
    </w:p>
    <w:p w14:paraId="7C3B4B50" w14:textId="77777777" w:rsidR="00CF1A9A" w:rsidRPr="008A54DF" w:rsidRDefault="00CF1A9A" w:rsidP="00CF1A9A"/>
    <w:p w14:paraId="09C5445C" w14:textId="452AF263" w:rsidR="00CF1A9A" w:rsidRDefault="00CF1A9A" w:rsidP="00503F19">
      <w:pPr>
        <w:pBdr>
          <w:top w:val="single" w:sz="4" w:space="1" w:color="auto"/>
          <w:left w:val="single" w:sz="4" w:space="4" w:color="auto"/>
          <w:bottom w:val="single" w:sz="4" w:space="1" w:color="auto"/>
          <w:right w:val="single" w:sz="4" w:space="4" w:color="auto"/>
        </w:pBdr>
      </w:pPr>
      <w:r w:rsidRPr="008A54DF">
        <w:t>Q</w:t>
      </w:r>
      <w:r>
        <w:t>1</w:t>
      </w:r>
      <w:r w:rsidR="00503F19">
        <w:t xml:space="preserve"> (2 pts)</w:t>
      </w:r>
      <w:r w:rsidRPr="008A54DF">
        <w:t xml:space="preserve">. Compare the chloride current traces shown in b. and c. </w:t>
      </w:r>
      <w:r>
        <w:t>and explain the conclusion that can be drawn from your observation.</w:t>
      </w:r>
    </w:p>
    <w:p w14:paraId="12985928" w14:textId="77777777" w:rsidR="004C43CA" w:rsidRDefault="004C43CA" w:rsidP="00503F19">
      <w:pPr>
        <w:pBdr>
          <w:top w:val="single" w:sz="4" w:space="1" w:color="auto"/>
          <w:left w:val="single" w:sz="4" w:space="4" w:color="auto"/>
          <w:bottom w:val="single" w:sz="4" w:space="1" w:color="auto"/>
          <w:right w:val="single" w:sz="4" w:space="4" w:color="auto"/>
        </w:pBdr>
      </w:pPr>
    </w:p>
    <w:p w14:paraId="79A1117E" w14:textId="77777777" w:rsidR="004C43CA" w:rsidRDefault="004C43CA" w:rsidP="00503F19">
      <w:pPr>
        <w:pBdr>
          <w:top w:val="single" w:sz="4" w:space="1" w:color="auto"/>
          <w:left w:val="single" w:sz="4" w:space="4" w:color="auto"/>
          <w:bottom w:val="single" w:sz="4" w:space="1" w:color="auto"/>
          <w:right w:val="single" w:sz="4" w:space="4" w:color="auto"/>
        </w:pBdr>
      </w:pPr>
    </w:p>
    <w:p w14:paraId="3329174B" w14:textId="77777777" w:rsidR="004C43CA" w:rsidRDefault="004C43CA" w:rsidP="00503F19">
      <w:pPr>
        <w:pBdr>
          <w:top w:val="single" w:sz="4" w:space="1" w:color="auto"/>
          <w:left w:val="single" w:sz="4" w:space="4" w:color="auto"/>
          <w:bottom w:val="single" w:sz="4" w:space="1" w:color="auto"/>
          <w:right w:val="single" w:sz="4" w:space="4" w:color="auto"/>
        </w:pBdr>
      </w:pPr>
    </w:p>
    <w:p w14:paraId="4A6F7049" w14:textId="77777777" w:rsidR="004C43CA" w:rsidRDefault="004C43CA" w:rsidP="00503F19">
      <w:pPr>
        <w:pBdr>
          <w:top w:val="single" w:sz="4" w:space="1" w:color="auto"/>
          <w:left w:val="single" w:sz="4" w:space="4" w:color="auto"/>
          <w:bottom w:val="single" w:sz="4" w:space="1" w:color="auto"/>
          <w:right w:val="single" w:sz="4" w:space="4" w:color="auto"/>
        </w:pBdr>
        <w:rPr>
          <w:color w:val="0432FF"/>
        </w:rPr>
      </w:pPr>
    </w:p>
    <w:p w14:paraId="4CA0C8DE" w14:textId="77777777" w:rsidR="00CF1A9A" w:rsidRDefault="00CF1A9A" w:rsidP="00CF1A9A">
      <w:pPr>
        <w:rPr>
          <w:color w:val="FF0000"/>
        </w:rPr>
      </w:pPr>
    </w:p>
    <w:p w14:paraId="5E844001" w14:textId="77777777" w:rsidR="004C43CA" w:rsidRPr="008A54DF" w:rsidRDefault="004C43CA" w:rsidP="00CF1A9A"/>
    <w:p w14:paraId="2E465B3A" w14:textId="77777777" w:rsidR="00503F19" w:rsidRDefault="00503F19">
      <w:r>
        <w:br w:type="page"/>
      </w:r>
    </w:p>
    <w:p w14:paraId="4F46CA15" w14:textId="429B9DD9" w:rsidR="00CF1A9A" w:rsidRDefault="00CF1A9A" w:rsidP="00503F19">
      <w:pPr>
        <w:pBdr>
          <w:top w:val="single" w:sz="4" w:space="1" w:color="auto"/>
          <w:left w:val="single" w:sz="4" w:space="4" w:color="auto"/>
          <w:bottom w:val="single" w:sz="4" w:space="1" w:color="auto"/>
          <w:right w:val="single" w:sz="4" w:space="4" w:color="auto"/>
        </w:pBdr>
        <w:rPr>
          <w:i/>
        </w:rPr>
      </w:pPr>
      <w:r w:rsidRPr="008A54DF">
        <w:lastRenderedPageBreak/>
        <w:t>Q</w:t>
      </w:r>
      <w:r>
        <w:t>2</w:t>
      </w:r>
      <w:r w:rsidR="00503F19">
        <w:t xml:space="preserve"> (2 pts)</w:t>
      </w:r>
      <w:r w:rsidRPr="008A54DF">
        <w:t xml:space="preserve">. Compare the chloride current traces shown in c. and d. </w:t>
      </w:r>
      <w:r>
        <w:t xml:space="preserve">and explain the conclusion that can be drawn from your observation. </w:t>
      </w:r>
      <w:r w:rsidR="00503F19">
        <w:t xml:space="preserve">  </w:t>
      </w:r>
      <w:r w:rsidR="00503F19">
        <w:rPr>
          <w:i/>
        </w:rPr>
        <w:t>Hint: Also compare with trace a.</w:t>
      </w:r>
    </w:p>
    <w:p w14:paraId="445F70C5" w14:textId="77777777" w:rsidR="004C43CA" w:rsidRDefault="004C43CA" w:rsidP="00503F19">
      <w:pPr>
        <w:pBdr>
          <w:top w:val="single" w:sz="4" w:space="1" w:color="auto"/>
          <w:left w:val="single" w:sz="4" w:space="4" w:color="auto"/>
          <w:bottom w:val="single" w:sz="4" w:space="1" w:color="auto"/>
          <w:right w:val="single" w:sz="4" w:space="4" w:color="auto"/>
        </w:pBdr>
        <w:rPr>
          <w:i/>
        </w:rPr>
      </w:pPr>
    </w:p>
    <w:p w14:paraId="1C76212A" w14:textId="77777777" w:rsidR="004C43CA" w:rsidRPr="00503F19" w:rsidRDefault="004C43CA" w:rsidP="00503F19">
      <w:pPr>
        <w:pBdr>
          <w:top w:val="single" w:sz="4" w:space="1" w:color="auto"/>
          <w:left w:val="single" w:sz="4" w:space="4" w:color="auto"/>
          <w:bottom w:val="single" w:sz="4" w:space="1" w:color="auto"/>
          <w:right w:val="single" w:sz="4" w:space="4" w:color="auto"/>
        </w:pBdr>
        <w:rPr>
          <w:i/>
        </w:rPr>
      </w:pPr>
    </w:p>
    <w:p w14:paraId="0A6788C6" w14:textId="77777777" w:rsidR="00CF1A9A" w:rsidRDefault="00CF1A9A" w:rsidP="00CF1A9A">
      <w:pPr>
        <w:rPr>
          <w:color w:val="FF0000"/>
        </w:rPr>
      </w:pPr>
    </w:p>
    <w:p w14:paraId="30338AC5" w14:textId="77777777" w:rsidR="004C43CA" w:rsidRPr="008A54DF" w:rsidRDefault="004C43CA" w:rsidP="00CF1A9A"/>
    <w:p w14:paraId="40F6CDC6" w14:textId="6BE3F288" w:rsidR="00CF1A9A" w:rsidRPr="008A54DF" w:rsidRDefault="00CF1A9A" w:rsidP="00503F19">
      <w:pPr>
        <w:pBdr>
          <w:top w:val="single" w:sz="4" w:space="1" w:color="auto"/>
          <w:left w:val="single" w:sz="4" w:space="4" w:color="auto"/>
          <w:bottom w:val="single" w:sz="4" w:space="1" w:color="auto"/>
          <w:right w:val="single" w:sz="4" w:space="4" w:color="auto"/>
        </w:pBdr>
      </w:pPr>
      <w:r w:rsidRPr="008A54DF">
        <w:t>Q</w:t>
      </w:r>
      <w:r>
        <w:t>3</w:t>
      </w:r>
      <w:r w:rsidR="00503F19">
        <w:t xml:space="preserve"> (1 pt)</w:t>
      </w:r>
      <w:r w:rsidRPr="008A54DF">
        <w:t xml:space="preserve">. Based on the traces </w:t>
      </w:r>
      <w:r w:rsidR="00503F19">
        <w:t>in Figure 3</w:t>
      </w:r>
      <w:r w:rsidRPr="008A54DF">
        <w:t>, which of the following statements is correct?</w:t>
      </w:r>
      <w:r w:rsidR="00503F19">
        <w:t xml:space="preserve">  (Circle or highlight one.)</w:t>
      </w:r>
    </w:p>
    <w:p w14:paraId="57410776" w14:textId="77777777" w:rsidR="00CF1A9A" w:rsidRPr="008A54DF" w:rsidRDefault="00CF1A9A" w:rsidP="00503F19">
      <w:pPr>
        <w:pStyle w:val="ListParagraph"/>
        <w:numPr>
          <w:ilvl w:val="0"/>
          <w:numId w:val="3"/>
        </w:numPr>
        <w:pBdr>
          <w:top w:val="single" w:sz="4" w:space="1" w:color="auto"/>
          <w:left w:val="single" w:sz="4" w:space="4" w:color="auto"/>
          <w:bottom w:val="single" w:sz="4" w:space="1" w:color="auto"/>
          <w:right w:val="single" w:sz="4" w:space="4" w:color="auto"/>
        </w:pBdr>
        <w:ind w:left="360"/>
      </w:pPr>
      <w:r w:rsidRPr="008A54DF">
        <w:t>Only in trace c. the GABA-A receptor is open and Cl</w:t>
      </w:r>
      <w:r w:rsidRPr="008A54DF">
        <w:rPr>
          <w:vertAlign w:val="superscript"/>
        </w:rPr>
        <w:t>−</w:t>
      </w:r>
      <w:r w:rsidRPr="008A54DF">
        <w:t xml:space="preserve"> ions are flowing into the cell</w:t>
      </w:r>
    </w:p>
    <w:p w14:paraId="74C80E3C" w14:textId="77777777" w:rsidR="00CF1A9A" w:rsidRPr="004C43CA" w:rsidRDefault="00CF1A9A" w:rsidP="00503F19">
      <w:pPr>
        <w:pStyle w:val="ListParagraph"/>
        <w:numPr>
          <w:ilvl w:val="0"/>
          <w:numId w:val="3"/>
        </w:numPr>
        <w:pBdr>
          <w:top w:val="single" w:sz="4" w:space="1" w:color="auto"/>
          <w:left w:val="single" w:sz="4" w:space="4" w:color="auto"/>
          <w:bottom w:val="single" w:sz="4" w:space="1" w:color="auto"/>
          <w:right w:val="single" w:sz="4" w:space="4" w:color="auto"/>
        </w:pBdr>
        <w:ind w:left="360"/>
      </w:pPr>
      <w:r w:rsidRPr="004C43CA">
        <w:t>The substance in Anna’s CSF can bind to GABA-A receptor and open the Cl</w:t>
      </w:r>
      <w:r w:rsidRPr="004C43CA">
        <w:rPr>
          <w:vertAlign w:val="superscript"/>
        </w:rPr>
        <w:t xml:space="preserve">− </w:t>
      </w:r>
      <w:r w:rsidRPr="004C43CA">
        <w:t xml:space="preserve">channel </w:t>
      </w:r>
    </w:p>
    <w:p w14:paraId="39D701DE" w14:textId="77777777" w:rsidR="00CF1A9A" w:rsidRPr="004C43CA" w:rsidRDefault="00CF1A9A" w:rsidP="00503F19">
      <w:pPr>
        <w:pStyle w:val="ListParagraph"/>
        <w:numPr>
          <w:ilvl w:val="0"/>
          <w:numId w:val="3"/>
        </w:numPr>
        <w:pBdr>
          <w:top w:val="single" w:sz="4" w:space="1" w:color="auto"/>
          <w:left w:val="single" w:sz="4" w:space="4" w:color="auto"/>
          <w:bottom w:val="single" w:sz="4" w:space="1" w:color="auto"/>
          <w:right w:val="single" w:sz="4" w:space="4" w:color="auto"/>
        </w:pBdr>
        <w:ind w:left="360"/>
      </w:pPr>
      <w:r w:rsidRPr="004C43CA">
        <w:t>The substance in Anna’s CSF needs GABA in order to open the Cl</w:t>
      </w:r>
      <w:r w:rsidRPr="004C43CA">
        <w:rPr>
          <w:vertAlign w:val="superscript"/>
        </w:rPr>
        <w:t>−</w:t>
      </w:r>
      <w:r w:rsidRPr="004C43CA">
        <w:t xml:space="preserve">channel </w:t>
      </w:r>
    </w:p>
    <w:p w14:paraId="086F750C" w14:textId="77777777" w:rsidR="00CF1A9A" w:rsidRPr="008A54DF" w:rsidRDefault="00CF1A9A" w:rsidP="00503F19">
      <w:pPr>
        <w:pStyle w:val="ListParagraph"/>
        <w:numPr>
          <w:ilvl w:val="0"/>
          <w:numId w:val="3"/>
        </w:numPr>
        <w:pBdr>
          <w:top w:val="single" w:sz="4" w:space="1" w:color="auto"/>
          <w:left w:val="single" w:sz="4" w:space="4" w:color="auto"/>
          <w:bottom w:val="single" w:sz="4" w:space="1" w:color="auto"/>
          <w:right w:val="single" w:sz="4" w:space="4" w:color="auto"/>
        </w:pBdr>
        <w:ind w:left="360"/>
      </w:pPr>
      <w:r w:rsidRPr="008A54DF">
        <w:t>Flumazenil can close the GABA-A receptor Cl</w:t>
      </w:r>
      <w:r w:rsidRPr="008A54DF">
        <w:rPr>
          <w:vertAlign w:val="superscript"/>
        </w:rPr>
        <w:t>−</w:t>
      </w:r>
      <w:r w:rsidRPr="008A54DF">
        <w:t xml:space="preserve"> channels </w:t>
      </w:r>
    </w:p>
    <w:p w14:paraId="36EA0734" w14:textId="77777777" w:rsidR="00CF1A9A" w:rsidRPr="008A54DF" w:rsidRDefault="00CF1A9A" w:rsidP="00503F19">
      <w:pPr>
        <w:pStyle w:val="ListParagraph"/>
        <w:numPr>
          <w:ilvl w:val="0"/>
          <w:numId w:val="3"/>
        </w:numPr>
        <w:pBdr>
          <w:top w:val="single" w:sz="4" w:space="1" w:color="auto"/>
          <w:left w:val="single" w:sz="4" w:space="4" w:color="auto"/>
          <w:bottom w:val="single" w:sz="4" w:space="1" w:color="auto"/>
          <w:right w:val="single" w:sz="4" w:space="4" w:color="auto"/>
        </w:pBdr>
        <w:ind w:left="360"/>
      </w:pPr>
      <w:r w:rsidRPr="008A54DF">
        <w:t>When the GABA-A receptor is open K</w:t>
      </w:r>
      <w:r w:rsidRPr="008A54DF">
        <w:rPr>
          <w:vertAlign w:val="superscript"/>
        </w:rPr>
        <w:t>+</w:t>
      </w:r>
      <w:r w:rsidRPr="008A54DF">
        <w:t xml:space="preserve"> ions are flowing out of the cell</w:t>
      </w:r>
    </w:p>
    <w:p w14:paraId="4B23386C" w14:textId="77777777" w:rsidR="00CF1A9A" w:rsidRDefault="00CF1A9A" w:rsidP="00CF1A9A">
      <w:pPr>
        <w:rPr>
          <w:b/>
          <w:bCs/>
        </w:rPr>
      </w:pPr>
    </w:p>
    <w:p w14:paraId="21385B9B" w14:textId="540B6ED1" w:rsidR="00CF1A9A" w:rsidRDefault="00CF1A9A" w:rsidP="00503F19">
      <w:pPr>
        <w:pBdr>
          <w:top w:val="single" w:sz="4" w:space="1" w:color="auto"/>
          <w:left w:val="single" w:sz="4" w:space="4" w:color="auto"/>
          <w:bottom w:val="single" w:sz="4" w:space="1" w:color="auto"/>
          <w:right w:val="single" w:sz="4" w:space="4" w:color="auto"/>
        </w:pBdr>
      </w:pPr>
      <w:r w:rsidRPr="00C62F11">
        <w:t>Q4</w:t>
      </w:r>
      <w:r w:rsidR="00503F19">
        <w:t xml:space="preserve"> (1 pt)</w:t>
      </w:r>
      <w:r w:rsidRPr="00C62F11">
        <w:t xml:space="preserve">. </w:t>
      </w:r>
      <w:r>
        <w:t xml:space="preserve">Based on the results presented, </w:t>
      </w:r>
      <w:r w:rsidR="00503F19">
        <w:t xml:space="preserve">speculate as to </w:t>
      </w:r>
      <w:r>
        <w:t>where in the GABA-A receptor do you think the CSF factor binds</w:t>
      </w:r>
      <w:r w:rsidR="00503F19">
        <w:t xml:space="preserve"> relative to other molecules binding to the receptor</w:t>
      </w:r>
      <w:r>
        <w:t>?</w:t>
      </w:r>
      <w:r w:rsidR="00503F19">
        <w:t xml:space="preserve">  Briefly explain your answer.</w:t>
      </w:r>
    </w:p>
    <w:p w14:paraId="594AEDA9" w14:textId="7AE31BCD" w:rsidR="00C1645D" w:rsidRDefault="00C1645D" w:rsidP="00503F19">
      <w:pPr>
        <w:pBdr>
          <w:top w:val="single" w:sz="4" w:space="1" w:color="auto"/>
          <w:left w:val="single" w:sz="4" w:space="4" w:color="auto"/>
          <w:bottom w:val="single" w:sz="4" w:space="1" w:color="auto"/>
          <w:right w:val="single" w:sz="4" w:space="4" w:color="auto"/>
        </w:pBdr>
        <w:rPr>
          <w:color w:val="FF0000"/>
        </w:rPr>
      </w:pPr>
    </w:p>
    <w:p w14:paraId="75AE759D" w14:textId="77777777" w:rsidR="004C43CA" w:rsidRPr="00503F19" w:rsidRDefault="004C43CA" w:rsidP="00503F19">
      <w:pPr>
        <w:pBdr>
          <w:top w:val="single" w:sz="4" w:space="1" w:color="auto"/>
          <w:left w:val="single" w:sz="4" w:space="4" w:color="auto"/>
          <w:bottom w:val="single" w:sz="4" w:space="1" w:color="auto"/>
          <w:right w:val="single" w:sz="4" w:space="4" w:color="auto"/>
        </w:pBdr>
        <w:rPr>
          <w:color w:val="FF0000"/>
        </w:rPr>
      </w:pPr>
    </w:p>
    <w:sectPr w:rsidR="004C43CA" w:rsidRPr="00503F19" w:rsidSect="0098458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62EF0" w14:textId="77777777" w:rsidR="00B6407D" w:rsidRDefault="00B6407D" w:rsidP="001B31B7">
      <w:r>
        <w:separator/>
      </w:r>
    </w:p>
  </w:endnote>
  <w:endnote w:type="continuationSeparator" w:id="0">
    <w:p w14:paraId="14CA1F13" w14:textId="77777777" w:rsidR="00B6407D" w:rsidRDefault="00B6407D" w:rsidP="001B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2329455"/>
      <w:docPartObj>
        <w:docPartGallery w:val="Page Numbers (Bottom of Page)"/>
        <w:docPartUnique/>
      </w:docPartObj>
    </w:sdtPr>
    <w:sdtEndPr>
      <w:rPr>
        <w:rStyle w:val="PageNumber"/>
      </w:rPr>
    </w:sdtEndPr>
    <w:sdtContent>
      <w:p w14:paraId="19FBF26C" w14:textId="37F76DE6"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8257D1" w14:textId="77777777" w:rsidR="0008258D" w:rsidRDefault="0008258D" w:rsidP="000825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83742817"/>
      <w:docPartObj>
        <w:docPartGallery w:val="Page Numbers (Bottom of Page)"/>
        <w:docPartUnique/>
      </w:docPartObj>
    </w:sdtPr>
    <w:sdtEndPr>
      <w:rPr>
        <w:rStyle w:val="PageNumber"/>
      </w:rPr>
    </w:sdtEndPr>
    <w:sdtContent>
      <w:p w14:paraId="3B6D2077" w14:textId="67F32ED9" w:rsidR="0008258D" w:rsidRDefault="0008258D" w:rsidP="00074A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DF34C7" w14:textId="77777777" w:rsidR="00811FCB" w:rsidRDefault="00811FCB" w:rsidP="0008258D">
    <w:pPr>
      <w:pStyle w:val="Footer"/>
      <w:ind w:right="360"/>
      <w:jc w:val="center"/>
      <w:rPr>
        <w:sz w:val="20"/>
        <w:szCs w:val="20"/>
      </w:rPr>
    </w:pPr>
    <w:r>
      <w:rPr>
        <w:noProof/>
      </w:rPr>
      <w:drawing>
        <wp:inline distT="0" distB="0" distL="0" distR="0" wp14:anchorId="41914127" wp14:editId="7C7D51B3">
          <wp:extent cx="548640" cy="270979"/>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CN-20181102.png"/>
                  <pic:cNvPicPr/>
                </pic:nvPicPr>
                <pic:blipFill>
                  <a:blip r:embed="rId1">
                    <a:extLst>
                      <a:ext uri="{28A0092B-C50C-407E-A947-70E740481C1C}">
                        <a14:useLocalDpi xmlns:a14="http://schemas.microsoft.com/office/drawing/2010/main" val="0"/>
                      </a:ext>
                    </a:extLst>
                  </a:blip>
                  <a:stretch>
                    <a:fillRect/>
                  </a:stretch>
                </pic:blipFill>
                <pic:spPr>
                  <a:xfrm>
                    <a:off x="0" y="0"/>
                    <a:ext cx="548640" cy="270979"/>
                  </a:xfrm>
                  <a:prstGeom prst="rect">
                    <a:avLst/>
                  </a:prstGeom>
                </pic:spPr>
              </pic:pic>
            </a:graphicData>
          </a:graphic>
        </wp:inline>
      </w:drawing>
    </w:r>
  </w:p>
  <w:p w14:paraId="119320FF" w14:textId="17A70AE4" w:rsidR="00811FCB" w:rsidRPr="001B31B7" w:rsidRDefault="0008258D" w:rsidP="0008258D">
    <w:pPr>
      <w:pStyle w:val="Footer"/>
      <w:tabs>
        <w:tab w:val="left" w:pos="493"/>
      </w:tabs>
      <w:rPr>
        <w:sz w:val="16"/>
        <w:szCs w:val="16"/>
      </w:rPr>
    </w:pPr>
    <w:r>
      <w:rPr>
        <w:sz w:val="16"/>
        <w:szCs w:val="16"/>
      </w:rPr>
      <w:tab/>
      <w:t xml:space="preserve"> </w:t>
    </w:r>
    <w:r>
      <w:rPr>
        <w:sz w:val="16"/>
        <w:szCs w:val="16"/>
      </w:rPr>
      <w:tab/>
    </w:r>
    <w:r w:rsidR="00811FCB" w:rsidRPr="00FF2F7B">
      <w:rPr>
        <w:sz w:val="16"/>
        <w:szCs w:val="16"/>
      </w:rPr>
      <w:t>Developed by Molecular CaseNet</w:t>
    </w:r>
    <w:r w:rsidR="00811FCB">
      <w:rPr>
        <w:sz w:val="16"/>
        <w:szCs w:val="16"/>
      </w:rPr>
      <w:t>,</w:t>
    </w:r>
    <w:r w:rsidR="00811FCB" w:rsidRPr="00FF2F7B">
      <w:rPr>
        <w:sz w:val="16"/>
        <w:szCs w:val="16"/>
      </w:rPr>
      <w:t xml:space="preserve"> </w:t>
    </w:r>
    <w:r w:rsidR="00811FCB">
      <w:rPr>
        <w:sz w:val="16"/>
        <w:szCs w:val="16"/>
      </w:rPr>
      <w:t xml:space="preserve">2020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FBFDE" w14:textId="77777777" w:rsidR="0037775E" w:rsidRDefault="00377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21172" w14:textId="77777777" w:rsidR="00B6407D" w:rsidRDefault="00B6407D" w:rsidP="001B31B7">
      <w:r>
        <w:separator/>
      </w:r>
    </w:p>
  </w:footnote>
  <w:footnote w:type="continuationSeparator" w:id="0">
    <w:p w14:paraId="74C6BB3A" w14:textId="77777777" w:rsidR="00B6407D" w:rsidRDefault="00B6407D" w:rsidP="001B3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885FD" w14:textId="77777777" w:rsidR="0037775E" w:rsidRDefault="00377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1323" w14:textId="77777777" w:rsidR="00811FCB" w:rsidRDefault="00811FCB" w:rsidP="00F65520">
    <w:pPr>
      <w:jc w:val="right"/>
    </w:pPr>
    <w:r>
      <w:t>Waking Up Anna</w:t>
    </w:r>
  </w:p>
  <w:p w14:paraId="4E821D73" w14:textId="00523892" w:rsidR="00811FCB" w:rsidRPr="00626EB1" w:rsidRDefault="00B53B61" w:rsidP="002333CF">
    <w:pPr>
      <w:tabs>
        <w:tab w:val="right" w:pos="9360"/>
      </w:tabs>
    </w:pPr>
    <w:r>
      <w:t xml:space="preserve">Adaptation </w:t>
    </w:r>
    <w:r w:rsidR="00811FCB">
      <w:t xml:space="preserve">by K. </w:t>
    </w:r>
    <w:r w:rsidR="00811FCB">
      <w:t>Johnson</w:t>
    </w:r>
    <w:r>
      <w:t>, 2021</w:t>
    </w:r>
    <w:r w:rsidR="00811FCB">
      <w:tab/>
    </w:r>
    <w:r>
      <w:t xml:space="preserve">Part </w:t>
    </w:r>
    <w:r w:rsidR="00902A7D">
      <w:t>2</w:t>
    </w:r>
    <w:r>
      <w:t xml:space="preserve"> </w:t>
    </w:r>
    <w:bookmarkStart w:id="0" w:name="_GoBack"/>
    <w:bookmarkEnd w:id="0"/>
  </w:p>
  <w:p w14:paraId="78C39D83" w14:textId="77777777" w:rsidR="00811FCB" w:rsidRDefault="00811F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3388" w14:textId="77777777" w:rsidR="0037775E" w:rsidRDefault="00377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0CD"/>
    <w:multiLevelType w:val="hybridMultilevel"/>
    <w:tmpl w:val="1CE4A4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D4975"/>
    <w:multiLevelType w:val="hybridMultilevel"/>
    <w:tmpl w:val="4C90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F338C"/>
    <w:multiLevelType w:val="hybridMultilevel"/>
    <w:tmpl w:val="91AE648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800" w:hanging="180"/>
      </w:pPr>
    </w:lvl>
    <w:lvl w:ilvl="3" w:tplc="93D603F2">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B3508D"/>
    <w:multiLevelType w:val="hybridMultilevel"/>
    <w:tmpl w:val="81EA4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15E83"/>
    <w:multiLevelType w:val="hybridMultilevel"/>
    <w:tmpl w:val="3008F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EC428E"/>
    <w:multiLevelType w:val="hybridMultilevel"/>
    <w:tmpl w:val="0E2AC7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B5BF3"/>
    <w:multiLevelType w:val="hybridMultilevel"/>
    <w:tmpl w:val="7EA6220E"/>
    <w:lvl w:ilvl="0" w:tplc="04090019">
      <w:start w:val="1"/>
      <w:numFmt w:val="low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83D78"/>
    <w:multiLevelType w:val="hybridMultilevel"/>
    <w:tmpl w:val="F11C5B46"/>
    <w:lvl w:ilvl="0" w:tplc="C4CECC7A">
      <w:start w:val="1"/>
      <w:numFmt w:val="lowerLetter"/>
      <w:lvlText w:val="%1."/>
      <w:lvlJc w:val="left"/>
      <w:pPr>
        <w:ind w:left="720" w:hanging="360"/>
      </w:pPr>
      <w:rPr>
        <w:rFonts w:hint="default"/>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10F95"/>
    <w:multiLevelType w:val="hybridMultilevel"/>
    <w:tmpl w:val="EE8C2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40DD7"/>
    <w:multiLevelType w:val="hybridMultilevel"/>
    <w:tmpl w:val="26B2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17FA1"/>
    <w:multiLevelType w:val="hybridMultilevel"/>
    <w:tmpl w:val="205CD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426BC9"/>
    <w:multiLevelType w:val="hybridMultilevel"/>
    <w:tmpl w:val="9F04E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106811"/>
    <w:multiLevelType w:val="hybridMultilevel"/>
    <w:tmpl w:val="52AAA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7C557E"/>
    <w:multiLevelType w:val="hybridMultilevel"/>
    <w:tmpl w:val="79FC3B2A"/>
    <w:lvl w:ilvl="0" w:tplc="04090019">
      <w:start w:val="1"/>
      <w:numFmt w:val="lowerLetter"/>
      <w:lvlText w:val="%1."/>
      <w:lvlJc w:val="left"/>
      <w:pPr>
        <w:ind w:left="78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C1211"/>
    <w:multiLevelType w:val="hybridMultilevel"/>
    <w:tmpl w:val="8E84E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C166F"/>
    <w:multiLevelType w:val="hybridMultilevel"/>
    <w:tmpl w:val="9F5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C62A5"/>
    <w:multiLevelType w:val="hybridMultilevel"/>
    <w:tmpl w:val="D30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318F3"/>
    <w:multiLevelType w:val="hybridMultilevel"/>
    <w:tmpl w:val="C6E84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A364C"/>
    <w:multiLevelType w:val="hybridMultilevel"/>
    <w:tmpl w:val="7C821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82F8D"/>
    <w:multiLevelType w:val="hybridMultilevel"/>
    <w:tmpl w:val="EE90A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F57F33"/>
    <w:multiLevelType w:val="hybridMultilevel"/>
    <w:tmpl w:val="14A67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B46CA4"/>
    <w:multiLevelType w:val="hybridMultilevel"/>
    <w:tmpl w:val="CF5698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E6DC8"/>
    <w:multiLevelType w:val="hybridMultilevel"/>
    <w:tmpl w:val="C326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4E450C"/>
    <w:multiLevelType w:val="hybridMultilevel"/>
    <w:tmpl w:val="5E682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40724"/>
    <w:multiLevelType w:val="hybridMultilevel"/>
    <w:tmpl w:val="102847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C14840"/>
    <w:multiLevelType w:val="hybridMultilevel"/>
    <w:tmpl w:val="0C4AF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0032F1"/>
    <w:multiLevelType w:val="hybridMultilevel"/>
    <w:tmpl w:val="E5CA3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D32E11"/>
    <w:multiLevelType w:val="hybridMultilevel"/>
    <w:tmpl w:val="6B64560E"/>
    <w:lvl w:ilvl="0" w:tplc="04090001">
      <w:start w:val="1"/>
      <w:numFmt w:val="bullet"/>
      <w:lvlText w:val=""/>
      <w:lvlJc w:val="left"/>
      <w:pPr>
        <w:ind w:left="720" w:hanging="360"/>
      </w:pPr>
      <w:rPr>
        <w:rFonts w:ascii="Symbol" w:hAnsi="Symbo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2F5B5D"/>
    <w:multiLevelType w:val="hybridMultilevel"/>
    <w:tmpl w:val="83D06B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F9E4281"/>
    <w:multiLevelType w:val="hybridMultilevel"/>
    <w:tmpl w:val="23106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91523"/>
    <w:multiLevelType w:val="hybridMultilevel"/>
    <w:tmpl w:val="274040F0"/>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2E0470D"/>
    <w:multiLevelType w:val="hybridMultilevel"/>
    <w:tmpl w:val="0B229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9BB5488"/>
    <w:multiLevelType w:val="hybridMultilevel"/>
    <w:tmpl w:val="693C9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3"/>
  </w:num>
  <w:num w:numId="4">
    <w:abstractNumId w:val="18"/>
  </w:num>
  <w:num w:numId="5">
    <w:abstractNumId w:val="17"/>
  </w:num>
  <w:num w:numId="6">
    <w:abstractNumId w:val="30"/>
  </w:num>
  <w:num w:numId="7">
    <w:abstractNumId w:val="7"/>
  </w:num>
  <w:num w:numId="8">
    <w:abstractNumId w:val="21"/>
  </w:num>
  <w:num w:numId="9">
    <w:abstractNumId w:val="2"/>
  </w:num>
  <w:num w:numId="10">
    <w:abstractNumId w:val="27"/>
  </w:num>
  <w:num w:numId="11">
    <w:abstractNumId w:val="0"/>
  </w:num>
  <w:num w:numId="12">
    <w:abstractNumId w:val="14"/>
  </w:num>
  <w:num w:numId="13">
    <w:abstractNumId w:val="25"/>
  </w:num>
  <w:num w:numId="14">
    <w:abstractNumId w:val="28"/>
  </w:num>
  <w:num w:numId="15">
    <w:abstractNumId w:val="8"/>
  </w:num>
  <w:num w:numId="16">
    <w:abstractNumId w:val="6"/>
  </w:num>
  <w:num w:numId="17">
    <w:abstractNumId w:val="10"/>
  </w:num>
  <w:num w:numId="18">
    <w:abstractNumId w:val="19"/>
  </w:num>
  <w:num w:numId="19">
    <w:abstractNumId w:val="24"/>
  </w:num>
  <w:num w:numId="20">
    <w:abstractNumId w:val="29"/>
  </w:num>
  <w:num w:numId="21">
    <w:abstractNumId w:val="31"/>
  </w:num>
  <w:num w:numId="22">
    <w:abstractNumId w:val="20"/>
  </w:num>
  <w:num w:numId="23">
    <w:abstractNumId w:val="16"/>
  </w:num>
  <w:num w:numId="24">
    <w:abstractNumId w:val="11"/>
  </w:num>
  <w:num w:numId="25">
    <w:abstractNumId w:val="4"/>
  </w:num>
  <w:num w:numId="26">
    <w:abstractNumId w:val="5"/>
  </w:num>
  <w:num w:numId="27">
    <w:abstractNumId w:val="12"/>
  </w:num>
  <w:num w:numId="28">
    <w:abstractNumId w:val="3"/>
  </w:num>
  <w:num w:numId="29">
    <w:abstractNumId w:val="1"/>
  </w:num>
  <w:num w:numId="30">
    <w:abstractNumId w:val="15"/>
  </w:num>
  <w:num w:numId="31">
    <w:abstractNumId w:val="32"/>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FE"/>
    <w:rsid w:val="0000038F"/>
    <w:rsid w:val="000166BB"/>
    <w:rsid w:val="00027B80"/>
    <w:rsid w:val="00041D49"/>
    <w:rsid w:val="00045443"/>
    <w:rsid w:val="0005760C"/>
    <w:rsid w:val="00057678"/>
    <w:rsid w:val="00057B51"/>
    <w:rsid w:val="00070D77"/>
    <w:rsid w:val="00072C70"/>
    <w:rsid w:val="0008258D"/>
    <w:rsid w:val="00082C4F"/>
    <w:rsid w:val="00092BF7"/>
    <w:rsid w:val="00095601"/>
    <w:rsid w:val="000A042E"/>
    <w:rsid w:val="000A4FF1"/>
    <w:rsid w:val="000B0FEC"/>
    <w:rsid w:val="000E047A"/>
    <w:rsid w:val="000E120E"/>
    <w:rsid w:val="000E1545"/>
    <w:rsid w:val="000E5597"/>
    <w:rsid w:val="00100E83"/>
    <w:rsid w:val="00101175"/>
    <w:rsid w:val="001014E9"/>
    <w:rsid w:val="00114465"/>
    <w:rsid w:val="0012277B"/>
    <w:rsid w:val="0012332A"/>
    <w:rsid w:val="001235B6"/>
    <w:rsid w:val="00126CDF"/>
    <w:rsid w:val="001362B3"/>
    <w:rsid w:val="00146301"/>
    <w:rsid w:val="001470F6"/>
    <w:rsid w:val="0016169A"/>
    <w:rsid w:val="00161847"/>
    <w:rsid w:val="00163BC3"/>
    <w:rsid w:val="00170BCA"/>
    <w:rsid w:val="0017423B"/>
    <w:rsid w:val="00185BB2"/>
    <w:rsid w:val="001A1492"/>
    <w:rsid w:val="001A6741"/>
    <w:rsid w:val="001B1ABC"/>
    <w:rsid w:val="001B31B7"/>
    <w:rsid w:val="001F2873"/>
    <w:rsid w:val="001F3D53"/>
    <w:rsid w:val="0020437A"/>
    <w:rsid w:val="0021799E"/>
    <w:rsid w:val="00222580"/>
    <w:rsid w:val="002333CF"/>
    <w:rsid w:val="0024365C"/>
    <w:rsid w:val="0024776A"/>
    <w:rsid w:val="002526F4"/>
    <w:rsid w:val="00252DBF"/>
    <w:rsid w:val="00256451"/>
    <w:rsid w:val="00260332"/>
    <w:rsid w:val="002607E9"/>
    <w:rsid w:val="002622FD"/>
    <w:rsid w:val="0026688D"/>
    <w:rsid w:val="00275F54"/>
    <w:rsid w:val="00276767"/>
    <w:rsid w:val="00283B48"/>
    <w:rsid w:val="002937BA"/>
    <w:rsid w:val="002A54BF"/>
    <w:rsid w:val="002B19B6"/>
    <w:rsid w:val="002B788B"/>
    <w:rsid w:val="002D44AA"/>
    <w:rsid w:val="002E1AE5"/>
    <w:rsid w:val="002E2E2A"/>
    <w:rsid w:val="002E5690"/>
    <w:rsid w:val="002F1B95"/>
    <w:rsid w:val="002F5A3A"/>
    <w:rsid w:val="00302FB7"/>
    <w:rsid w:val="003070B4"/>
    <w:rsid w:val="00307A54"/>
    <w:rsid w:val="003122F6"/>
    <w:rsid w:val="0031736F"/>
    <w:rsid w:val="00323B42"/>
    <w:rsid w:val="003371DF"/>
    <w:rsid w:val="00342CED"/>
    <w:rsid w:val="00364CC9"/>
    <w:rsid w:val="00365584"/>
    <w:rsid w:val="00366FFE"/>
    <w:rsid w:val="003742FE"/>
    <w:rsid w:val="0037775E"/>
    <w:rsid w:val="003901CB"/>
    <w:rsid w:val="003A5A68"/>
    <w:rsid w:val="003B4489"/>
    <w:rsid w:val="003E1E91"/>
    <w:rsid w:val="003E4F17"/>
    <w:rsid w:val="003F103F"/>
    <w:rsid w:val="00400C63"/>
    <w:rsid w:val="00403053"/>
    <w:rsid w:val="00405FA8"/>
    <w:rsid w:val="004174D1"/>
    <w:rsid w:val="00421E6D"/>
    <w:rsid w:val="004223FC"/>
    <w:rsid w:val="004227A4"/>
    <w:rsid w:val="004278D5"/>
    <w:rsid w:val="00427C22"/>
    <w:rsid w:val="00430038"/>
    <w:rsid w:val="00434D0C"/>
    <w:rsid w:val="00435E66"/>
    <w:rsid w:val="0044181A"/>
    <w:rsid w:val="004455FF"/>
    <w:rsid w:val="0046398C"/>
    <w:rsid w:val="004642D8"/>
    <w:rsid w:val="004655D9"/>
    <w:rsid w:val="004736E6"/>
    <w:rsid w:val="00474A8D"/>
    <w:rsid w:val="00484DA9"/>
    <w:rsid w:val="00486B6D"/>
    <w:rsid w:val="004A70DA"/>
    <w:rsid w:val="004C0EED"/>
    <w:rsid w:val="004C2DEE"/>
    <w:rsid w:val="004C43CA"/>
    <w:rsid w:val="004E0E2B"/>
    <w:rsid w:val="004F3F97"/>
    <w:rsid w:val="004F4728"/>
    <w:rsid w:val="004F4E45"/>
    <w:rsid w:val="004F55C6"/>
    <w:rsid w:val="00502849"/>
    <w:rsid w:val="00503F19"/>
    <w:rsid w:val="00504A67"/>
    <w:rsid w:val="005172B9"/>
    <w:rsid w:val="005259DD"/>
    <w:rsid w:val="00530C5B"/>
    <w:rsid w:val="005340BB"/>
    <w:rsid w:val="005503D2"/>
    <w:rsid w:val="00550C3B"/>
    <w:rsid w:val="005531D3"/>
    <w:rsid w:val="0055653D"/>
    <w:rsid w:val="00562D41"/>
    <w:rsid w:val="00563CB4"/>
    <w:rsid w:val="005649C9"/>
    <w:rsid w:val="005706E5"/>
    <w:rsid w:val="00573FFB"/>
    <w:rsid w:val="00582FAF"/>
    <w:rsid w:val="00590E98"/>
    <w:rsid w:val="005A03DE"/>
    <w:rsid w:val="005A60FB"/>
    <w:rsid w:val="005C6378"/>
    <w:rsid w:val="005D03A1"/>
    <w:rsid w:val="005D4926"/>
    <w:rsid w:val="005E37A8"/>
    <w:rsid w:val="005E5973"/>
    <w:rsid w:val="0060274C"/>
    <w:rsid w:val="00614B2A"/>
    <w:rsid w:val="006177E0"/>
    <w:rsid w:val="006204C3"/>
    <w:rsid w:val="00630763"/>
    <w:rsid w:val="00630CCC"/>
    <w:rsid w:val="006341A6"/>
    <w:rsid w:val="0063457C"/>
    <w:rsid w:val="006404C3"/>
    <w:rsid w:val="00651146"/>
    <w:rsid w:val="0065774C"/>
    <w:rsid w:val="00666D04"/>
    <w:rsid w:val="0067466B"/>
    <w:rsid w:val="00675B92"/>
    <w:rsid w:val="00686522"/>
    <w:rsid w:val="00696A29"/>
    <w:rsid w:val="006A2272"/>
    <w:rsid w:val="006B5EBD"/>
    <w:rsid w:val="006C3BCB"/>
    <w:rsid w:val="006C679C"/>
    <w:rsid w:val="006C741D"/>
    <w:rsid w:val="006D1683"/>
    <w:rsid w:val="006D2FE1"/>
    <w:rsid w:val="006E1A4C"/>
    <w:rsid w:val="006F1111"/>
    <w:rsid w:val="006F16AA"/>
    <w:rsid w:val="006F194C"/>
    <w:rsid w:val="006F5E86"/>
    <w:rsid w:val="006F776D"/>
    <w:rsid w:val="0071085F"/>
    <w:rsid w:val="007109E0"/>
    <w:rsid w:val="007145F7"/>
    <w:rsid w:val="00726B7A"/>
    <w:rsid w:val="00731DE0"/>
    <w:rsid w:val="0073220F"/>
    <w:rsid w:val="007329C8"/>
    <w:rsid w:val="00747F78"/>
    <w:rsid w:val="007544FA"/>
    <w:rsid w:val="00761171"/>
    <w:rsid w:val="00761549"/>
    <w:rsid w:val="00767583"/>
    <w:rsid w:val="00777010"/>
    <w:rsid w:val="00780770"/>
    <w:rsid w:val="007865B3"/>
    <w:rsid w:val="007928F6"/>
    <w:rsid w:val="007A1321"/>
    <w:rsid w:val="007B199C"/>
    <w:rsid w:val="007B2CB7"/>
    <w:rsid w:val="007D556A"/>
    <w:rsid w:val="007E2DA1"/>
    <w:rsid w:val="007F0721"/>
    <w:rsid w:val="007F7B6A"/>
    <w:rsid w:val="00800595"/>
    <w:rsid w:val="0080643F"/>
    <w:rsid w:val="00810149"/>
    <w:rsid w:val="0081173D"/>
    <w:rsid w:val="00811FCB"/>
    <w:rsid w:val="00815A1D"/>
    <w:rsid w:val="00816FCB"/>
    <w:rsid w:val="008233E2"/>
    <w:rsid w:val="00824F62"/>
    <w:rsid w:val="00826B34"/>
    <w:rsid w:val="00833531"/>
    <w:rsid w:val="00835B46"/>
    <w:rsid w:val="00856340"/>
    <w:rsid w:val="00857754"/>
    <w:rsid w:val="00866C7A"/>
    <w:rsid w:val="00872D63"/>
    <w:rsid w:val="00874872"/>
    <w:rsid w:val="0089479B"/>
    <w:rsid w:val="00896EFC"/>
    <w:rsid w:val="008A143C"/>
    <w:rsid w:val="008A54DF"/>
    <w:rsid w:val="008B396D"/>
    <w:rsid w:val="008C36A8"/>
    <w:rsid w:val="008D3AB1"/>
    <w:rsid w:val="008E516B"/>
    <w:rsid w:val="008F2159"/>
    <w:rsid w:val="009009ED"/>
    <w:rsid w:val="00902A7D"/>
    <w:rsid w:val="0090779D"/>
    <w:rsid w:val="00914559"/>
    <w:rsid w:val="009246C1"/>
    <w:rsid w:val="009261E0"/>
    <w:rsid w:val="00927014"/>
    <w:rsid w:val="0093254D"/>
    <w:rsid w:val="00935650"/>
    <w:rsid w:val="00955BB7"/>
    <w:rsid w:val="009610CB"/>
    <w:rsid w:val="00972E60"/>
    <w:rsid w:val="00973357"/>
    <w:rsid w:val="00983BB8"/>
    <w:rsid w:val="00984580"/>
    <w:rsid w:val="009974F8"/>
    <w:rsid w:val="009A14A3"/>
    <w:rsid w:val="009A390B"/>
    <w:rsid w:val="009A6ACC"/>
    <w:rsid w:val="009A6DC1"/>
    <w:rsid w:val="009A766C"/>
    <w:rsid w:val="009B1768"/>
    <w:rsid w:val="009B293E"/>
    <w:rsid w:val="009B43EF"/>
    <w:rsid w:val="009B7B84"/>
    <w:rsid w:val="009D1C30"/>
    <w:rsid w:val="009D7A88"/>
    <w:rsid w:val="009F0770"/>
    <w:rsid w:val="00A00C1D"/>
    <w:rsid w:val="00A217E7"/>
    <w:rsid w:val="00A23E41"/>
    <w:rsid w:val="00A261BB"/>
    <w:rsid w:val="00A323E2"/>
    <w:rsid w:val="00A40EA5"/>
    <w:rsid w:val="00A45089"/>
    <w:rsid w:val="00A50490"/>
    <w:rsid w:val="00A56669"/>
    <w:rsid w:val="00A57565"/>
    <w:rsid w:val="00A60389"/>
    <w:rsid w:val="00A6360C"/>
    <w:rsid w:val="00A659C4"/>
    <w:rsid w:val="00A700B4"/>
    <w:rsid w:val="00AA0980"/>
    <w:rsid w:val="00AA2EFC"/>
    <w:rsid w:val="00AA4D56"/>
    <w:rsid w:val="00AA7413"/>
    <w:rsid w:val="00AB137E"/>
    <w:rsid w:val="00AB4210"/>
    <w:rsid w:val="00AC2F9C"/>
    <w:rsid w:val="00AC7BE7"/>
    <w:rsid w:val="00AD01ED"/>
    <w:rsid w:val="00AD11C5"/>
    <w:rsid w:val="00AF02BA"/>
    <w:rsid w:val="00AF41A5"/>
    <w:rsid w:val="00AF6E9D"/>
    <w:rsid w:val="00B05171"/>
    <w:rsid w:val="00B075D4"/>
    <w:rsid w:val="00B11676"/>
    <w:rsid w:val="00B2347B"/>
    <w:rsid w:val="00B32AEC"/>
    <w:rsid w:val="00B32FAE"/>
    <w:rsid w:val="00B36A49"/>
    <w:rsid w:val="00B42FC9"/>
    <w:rsid w:val="00B4362D"/>
    <w:rsid w:val="00B44036"/>
    <w:rsid w:val="00B45C5A"/>
    <w:rsid w:val="00B50A13"/>
    <w:rsid w:val="00B53AA2"/>
    <w:rsid w:val="00B53B61"/>
    <w:rsid w:val="00B60281"/>
    <w:rsid w:val="00B6226A"/>
    <w:rsid w:val="00B6407D"/>
    <w:rsid w:val="00B64D47"/>
    <w:rsid w:val="00B64EEE"/>
    <w:rsid w:val="00B66164"/>
    <w:rsid w:val="00B71A6E"/>
    <w:rsid w:val="00B743D8"/>
    <w:rsid w:val="00B8295A"/>
    <w:rsid w:val="00B8608B"/>
    <w:rsid w:val="00B922F4"/>
    <w:rsid w:val="00B94509"/>
    <w:rsid w:val="00B946A9"/>
    <w:rsid w:val="00BA2D24"/>
    <w:rsid w:val="00BA61DE"/>
    <w:rsid w:val="00BB25B6"/>
    <w:rsid w:val="00BB3C86"/>
    <w:rsid w:val="00BB7E48"/>
    <w:rsid w:val="00BC0996"/>
    <w:rsid w:val="00BC195F"/>
    <w:rsid w:val="00BC23E9"/>
    <w:rsid w:val="00BD14BC"/>
    <w:rsid w:val="00BD2F23"/>
    <w:rsid w:val="00BD7253"/>
    <w:rsid w:val="00C018F7"/>
    <w:rsid w:val="00C04628"/>
    <w:rsid w:val="00C13D9B"/>
    <w:rsid w:val="00C1645D"/>
    <w:rsid w:val="00C17C2F"/>
    <w:rsid w:val="00C238C6"/>
    <w:rsid w:val="00C25A98"/>
    <w:rsid w:val="00C32920"/>
    <w:rsid w:val="00C33636"/>
    <w:rsid w:val="00C34A4E"/>
    <w:rsid w:val="00C34B62"/>
    <w:rsid w:val="00C40EDE"/>
    <w:rsid w:val="00C45E7A"/>
    <w:rsid w:val="00C565EF"/>
    <w:rsid w:val="00C56DEF"/>
    <w:rsid w:val="00C61693"/>
    <w:rsid w:val="00C62F11"/>
    <w:rsid w:val="00C635A8"/>
    <w:rsid w:val="00C6650E"/>
    <w:rsid w:val="00C718C7"/>
    <w:rsid w:val="00C72A0E"/>
    <w:rsid w:val="00C8477D"/>
    <w:rsid w:val="00C95138"/>
    <w:rsid w:val="00CA0A69"/>
    <w:rsid w:val="00CA51C1"/>
    <w:rsid w:val="00CB5625"/>
    <w:rsid w:val="00CC497D"/>
    <w:rsid w:val="00CD15A9"/>
    <w:rsid w:val="00CD27D2"/>
    <w:rsid w:val="00CE04AF"/>
    <w:rsid w:val="00CE0518"/>
    <w:rsid w:val="00CE4A7F"/>
    <w:rsid w:val="00CE725C"/>
    <w:rsid w:val="00CF1A9A"/>
    <w:rsid w:val="00D15C78"/>
    <w:rsid w:val="00D24D38"/>
    <w:rsid w:val="00D47F02"/>
    <w:rsid w:val="00D56292"/>
    <w:rsid w:val="00D62C4D"/>
    <w:rsid w:val="00D71556"/>
    <w:rsid w:val="00D74C28"/>
    <w:rsid w:val="00D767CF"/>
    <w:rsid w:val="00D775E9"/>
    <w:rsid w:val="00D9104C"/>
    <w:rsid w:val="00D91CB9"/>
    <w:rsid w:val="00D935AF"/>
    <w:rsid w:val="00DB1925"/>
    <w:rsid w:val="00DB19B8"/>
    <w:rsid w:val="00DB369A"/>
    <w:rsid w:val="00DB7D47"/>
    <w:rsid w:val="00DC06AE"/>
    <w:rsid w:val="00DC4660"/>
    <w:rsid w:val="00DC4A8E"/>
    <w:rsid w:val="00DC6DFE"/>
    <w:rsid w:val="00DE185B"/>
    <w:rsid w:val="00DE6D3F"/>
    <w:rsid w:val="00DF6731"/>
    <w:rsid w:val="00E04644"/>
    <w:rsid w:val="00E04C1D"/>
    <w:rsid w:val="00E1123C"/>
    <w:rsid w:val="00E2666E"/>
    <w:rsid w:val="00E333B3"/>
    <w:rsid w:val="00E33989"/>
    <w:rsid w:val="00E33B88"/>
    <w:rsid w:val="00E42AD0"/>
    <w:rsid w:val="00E42B58"/>
    <w:rsid w:val="00E6065A"/>
    <w:rsid w:val="00E631C0"/>
    <w:rsid w:val="00E72118"/>
    <w:rsid w:val="00E819D8"/>
    <w:rsid w:val="00E84120"/>
    <w:rsid w:val="00E90EB6"/>
    <w:rsid w:val="00E91DCC"/>
    <w:rsid w:val="00E930FA"/>
    <w:rsid w:val="00EA2D22"/>
    <w:rsid w:val="00EB0F30"/>
    <w:rsid w:val="00EC2E4A"/>
    <w:rsid w:val="00EC433D"/>
    <w:rsid w:val="00EE1FDD"/>
    <w:rsid w:val="00EE5EE2"/>
    <w:rsid w:val="00EF7B0F"/>
    <w:rsid w:val="00EF7C8A"/>
    <w:rsid w:val="00F04DEC"/>
    <w:rsid w:val="00F07D39"/>
    <w:rsid w:val="00F14918"/>
    <w:rsid w:val="00F1739A"/>
    <w:rsid w:val="00F17C09"/>
    <w:rsid w:val="00F23B21"/>
    <w:rsid w:val="00F307FE"/>
    <w:rsid w:val="00F40C9C"/>
    <w:rsid w:val="00F4270B"/>
    <w:rsid w:val="00F47DC5"/>
    <w:rsid w:val="00F545E0"/>
    <w:rsid w:val="00F54960"/>
    <w:rsid w:val="00F55BEC"/>
    <w:rsid w:val="00F65520"/>
    <w:rsid w:val="00F7273F"/>
    <w:rsid w:val="00F748AB"/>
    <w:rsid w:val="00F81884"/>
    <w:rsid w:val="00F93BBB"/>
    <w:rsid w:val="00FA5F4E"/>
    <w:rsid w:val="00FB16C8"/>
    <w:rsid w:val="00FB6DD2"/>
    <w:rsid w:val="00FC3A84"/>
    <w:rsid w:val="00FC53C1"/>
    <w:rsid w:val="00FC6102"/>
    <w:rsid w:val="00FD09B8"/>
    <w:rsid w:val="00FD0F4D"/>
    <w:rsid w:val="00FD776D"/>
    <w:rsid w:val="00FE74E0"/>
    <w:rsid w:val="00FF544A"/>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B643"/>
  <w14:defaultImageDpi w14:val="32767"/>
  <w15:chartTrackingRefBased/>
  <w15:docId w15:val="{677844DE-CE7F-D545-8D97-A237514C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7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4559"/>
    <w:rPr>
      <w:color w:val="0563C1" w:themeColor="hyperlink"/>
      <w:u w:val="single"/>
    </w:rPr>
  </w:style>
  <w:style w:type="character" w:customStyle="1" w:styleId="UnresolvedMention1">
    <w:name w:val="Unresolved Mention1"/>
    <w:basedOn w:val="DefaultParagraphFont"/>
    <w:uiPriority w:val="99"/>
    <w:rsid w:val="00914559"/>
    <w:rPr>
      <w:color w:val="605E5C"/>
      <w:shd w:val="clear" w:color="auto" w:fill="E1DFDD"/>
    </w:rPr>
  </w:style>
  <w:style w:type="paragraph" w:styleId="ListParagraph">
    <w:name w:val="List Paragraph"/>
    <w:basedOn w:val="Normal"/>
    <w:uiPriority w:val="34"/>
    <w:qFormat/>
    <w:rsid w:val="00914559"/>
    <w:pPr>
      <w:ind w:left="720"/>
      <w:contextualSpacing/>
    </w:pPr>
  </w:style>
  <w:style w:type="character" w:styleId="FollowedHyperlink">
    <w:name w:val="FollowedHyperlink"/>
    <w:basedOn w:val="DefaultParagraphFont"/>
    <w:uiPriority w:val="99"/>
    <w:semiHidden/>
    <w:unhideWhenUsed/>
    <w:rsid w:val="00F93BBB"/>
    <w:rPr>
      <w:color w:val="954F72" w:themeColor="followedHyperlink"/>
      <w:u w:val="single"/>
    </w:rPr>
  </w:style>
  <w:style w:type="table" w:styleId="TableGrid">
    <w:name w:val="Table Grid"/>
    <w:basedOn w:val="TableNormal"/>
    <w:uiPriority w:val="39"/>
    <w:rsid w:val="004227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B2A"/>
    <w:rPr>
      <w:sz w:val="18"/>
      <w:szCs w:val="18"/>
    </w:rPr>
  </w:style>
  <w:style w:type="character" w:customStyle="1" w:styleId="BalloonTextChar">
    <w:name w:val="Balloon Text Char"/>
    <w:basedOn w:val="DefaultParagraphFont"/>
    <w:link w:val="BalloonText"/>
    <w:uiPriority w:val="99"/>
    <w:semiHidden/>
    <w:rsid w:val="00614B2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04A67"/>
    <w:rPr>
      <w:sz w:val="16"/>
      <w:szCs w:val="16"/>
    </w:rPr>
  </w:style>
  <w:style w:type="paragraph" w:styleId="CommentText">
    <w:name w:val="annotation text"/>
    <w:basedOn w:val="Normal"/>
    <w:link w:val="CommentTextChar"/>
    <w:uiPriority w:val="99"/>
    <w:semiHidden/>
    <w:unhideWhenUsed/>
    <w:rsid w:val="00504A67"/>
    <w:rPr>
      <w:sz w:val="20"/>
      <w:szCs w:val="20"/>
    </w:rPr>
  </w:style>
  <w:style w:type="character" w:customStyle="1" w:styleId="CommentTextChar">
    <w:name w:val="Comment Text Char"/>
    <w:basedOn w:val="DefaultParagraphFont"/>
    <w:link w:val="CommentText"/>
    <w:uiPriority w:val="99"/>
    <w:semiHidden/>
    <w:rsid w:val="00504A67"/>
    <w:rPr>
      <w:sz w:val="20"/>
      <w:szCs w:val="20"/>
    </w:rPr>
  </w:style>
  <w:style w:type="paragraph" w:styleId="CommentSubject">
    <w:name w:val="annotation subject"/>
    <w:basedOn w:val="CommentText"/>
    <w:next w:val="CommentText"/>
    <w:link w:val="CommentSubjectChar"/>
    <w:uiPriority w:val="99"/>
    <w:semiHidden/>
    <w:unhideWhenUsed/>
    <w:rsid w:val="00504A67"/>
    <w:rPr>
      <w:b/>
      <w:bCs/>
    </w:rPr>
  </w:style>
  <w:style w:type="character" w:customStyle="1" w:styleId="CommentSubjectChar">
    <w:name w:val="Comment Subject Char"/>
    <w:basedOn w:val="CommentTextChar"/>
    <w:link w:val="CommentSubject"/>
    <w:uiPriority w:val="99"/>
    <w:semiHidden/>
    <w:rsid w:val="00504A67"/>
    <w:rPr>
      <w:b/>
      <w:bCs/>
      <w:sz w:val="20"/>
      <w:szCs w:val="20"/>
    </w:rPr>
  </w:style>
  <w:style w:type="paragraph" w:styleId="Revision">
    <w:name w:val="Revision"/>
    <w:hidden/>
    <w:uiPriority w:val="99"/>
    <w:semiHidden/>
    <w:rsid w:val="00C56DEF"/>
  </w:style>
  <w:style w:type="character" w:styleId="Strong">
    <w:name w:val="Strong"/>
    <w:basedOn w:val="DefaultParagraphFont"/>
    <w:uiPriority w:val="22"/>
    <w:qFormat/>
    <w:rsid w:val="007E2DA1"/>
    <w:rPr>
      <w:b/>
      <w:bCs/>
    </w:rPr>
  </w:style>
  <w:style w:type="character" w:customStyle="1" w:styleId="UnresolvedMention2">
    <w:name w:val="Unresolved Mention2"/>
    <w:basedOn w:val="DefaultParagraphFont"/>
    <w:uiPriority w:val="99"/>
    <w:semiHidden/>
    <w:unhideWhenUsed/>
    <w:rsid w:val="0046398C"/>
    <w:rPr>
      <w:color w:val="605E5C"/>
      <w:shd w:val="clear" w:color="auto" w:fill="E1DFDD"/>
    </w:rPr>
  </w:style>
  <w:style w:type="paragraph" w:styleId="Header">
    <w:name w:val="header"/>
    <w:basedOn w:val="Normal"/>
    <w:link w:val="HeaderChar"/>
    <w:uiPriority w:val="99"/>
    <w:unhideWhenUsed/>
    <w:rsid w:val="004F472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F4728"/>
  </w:style>
  <w:style w:type="paragraph" w:styleId="Footer">
    <w:name w:val="footer"/>
    <w:basedOn w:val="Normal"/>
    <w:link w:val="FooterChar"/>
    <w:uiPriority w:val="99"/>
    <w:unhideWhenUsed/>
    <w:rsid w:val="001B31B7"/>
    <w:pPr>
      <w:tabs>
        <w:tab w:val="center" w:pos="4680"/>
        <w:tab w:val="right" w:pos="9360"/>
      </w:tabs>
    </w:pPr>
  </w:style>
  <w:style w:type="character" w:customStyle="1" w:styleId="FooterChar">
    <w:name w:val="Footer Char"/>
    <w:basedOn w:val="DefaultParagraphFont"/>
    <w:link w:val="Footer"/>
    <w:uiPriority w:val="99"/>
    <w:rsid w:val="001B31B7"/>
    <w:rPr>
      <w:rFonts w:ascii="Times New Roman" w:eastAsia="Times New Roman" w:hAnsi="Times New Roman" w:cs="Times New Roman"/>
    </w:rPr>
  </w:style>
  <w:style w:type="character" w:customStyle="1" w:styleId="e24kjd">
    <w:name w:val="e24kjd"/>
    <w:basedOn w:val="DefaultParagraphFont"/>
    <w:rsid w:val="009246C1"/>
  </w:style>
  <w:style w:type="paragraph" w:customStyle="1" w:styleId="gv">
    <w:name w:val="gv"/>
    <w:basedOn w:val="Normal"/>
    <w:rsid w:val="00342CED"/>
    <w:pPr>
      <w:spacing w:before="100" w:beforeAutospacing="1" w:after="100" w:afterAutospacing="1"/>
    </w:pPr>
  </w:style>
  <w:style w:type="character" w:styleId="UnresolvedMention">
    <w:name w:val="Unresolved Mention"/>
    <w:basedOn w:val="DefaultParagraphFont"/>
    <w:uiPriority w:val="99"/>
    <w:semiHidden/>
    <w:unhideWhenUsed/>
    <w:rsid w:val="002333CF"/>
    <w:rPr>
      <w:color w:val="605E5C"/>
      <w:shd w:val="clear" w:color="auto" w:fill="E1DFDD"/>
    </w:rPr>
  </w:style>
  <w:style w:type="character" w:styleId="PageNumber">
    <w:name w:val="page number"/>
    <w:basedOn w:val="DefaultParagraphFont"/>
    <w:uiPriority w:val="99"/>
    <w:semiHidden/>
    <w:unhideWhenUsed/>
    <w:rsid w:val="0008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1916">
      <w:bodyDiv w:val="1"/>
      <w:marLeft w:val="0"/>
      <w:marRight w:val="0"/>
      <w:marTop w:val="0"/>
      <w:marBottom w:val="0"/>
      <w:divBdr>
        <w:top w:val="none" w:sz="0" w:space="0" w:color="auto"/>
        <w:left w:val="none" w:sz="0" w:space="0" w:color="auto"/>
        <w:bottom w:val="none" w:sz="0" w:space="0" w:color="auto"/>
        <w:right w:val="none" w:sz="0" w:space="0" w:color="auto"/>
      </w:divBdr>
    </w:div>
    <w:div w:id="19668937">
      <w:bodyDiv w:val="1"/>
      <w:marLeft w:val="0"/>
      <w:marRight w:val="0"/>
      <w:marTop w:val="0"/>
      <w:marBottom w:val="0"/>
      <w:divBdr>
        <w:top w:val="none" w:sz="0" w:space="0" w:color="auto"/>
        <w:left w:val="none" w:sz="0" w:space="0" w:color="auto"/>
        <w:bottom w:val="none" w:sz="0" w:space="0" w:color="auto"/>
        <w:right w:val="none" w:sz="0" w:space="0" w:color="auto"/>
      </w:divBdr>
    </w:div>
    <w:div w:id="203711458">
      <w:bodyDiv w:val="1"/>
      <w:marLeft w:val="0"/>
      <w:marRight w:val="0"/>
      <w:marTop w:val="0"/>
      <w:marBottom w:val="0"/>
      <w:divBdr>
        <w:top w:val="none" w:sz="0" w:space="0" w:color="auto"/>
        <w:left w:val="none" w:sz="0" w:space="0" w:color="auto"/>
        <w:bottom w:val="none" w:sz="0" w:space="0" w:color="auto"/>
        <w:right w:val="none" w:sz="0" w:space="0" w:color="auto"/>
      </w:divBdr>
    </w:div>
    <w:div w:id="230121839">
      <w:bodyDiv w:val="1"/>
      <w:marLeft w:val="0"/>
      <w:marRight w:val="0"/>
      <w:marTop w:val="0"/>
      <w:marBottom w:val="0"/>
      <w:divBdr>
        <w:top w:val="none" w:sz="0" w:space="0" w:color="auto"/>
        <w:left w:val="none" w:sz="0" w:space="0" w:color="auto"/>
        <w:bottom w:val="none" w:sz="0" w:space="0" w:color="auto"/>
        <w:right w:val="none" w:sz="0" w:space="0" w:color="auto"/>
      </w:divBdr>
    </w:div>
    <w:div w:id="448087191">
      <w:bodyDiv w:val="1"/>
      <w:marLeft w:val="0"/>
      <w:marRight w:val="0"/>
      <w:marTop w:val="0"/>
      <w:marBottom w:val="0"/>
      <w:divBdr>
        <w:top w:val="none" w:sz="0" w:space="0" w:color="auto"/>
        <w:left w:val="none" w:sz="0" w:space="0" w:color="auto"/>
        <w:bottom w:val="none" w:sz="0" w:space="0" w:color="auto"/>
        <w:right w:val="none" w:sz="0" w:space="0" w:color="auto"/>
      </w:divBdr>
    </w:div>
    <w:div w:id="450711969">
      <w:bodyDiv w:val="1"/>
      <w:marLeft w:val="0"/>
      <w:marRight w:val="0"/>
      <w:marTop w:val="0"/>
      <w:marBottom w:val="0"/>
      <w:divBdr>
        <w:top w:val="none" w:sz="0" w:space="0" w:color="auto"/>
        <w:left w:val="none" w:sz="0" w:space="0" w:color="auto"/>
        <w:bottom w:val="none" w:sz="0" w:space="0" w:color="auto"/>
        <w:right w:val="none" w:sz="0" w:space="0" w:color="auto"/>
      </w:divBdr>
    </w:div>
    <w:div w:id="488253434">
      <w:bodyDiv w:val="1"/>
      <w:marLeft w:val="0"/>
      <w:marRight w:val="0"/>
      <w:marTop w:val="0"/>
      <w:marBottom w:val="0"/>
      <w:divBdr>
        <w:top w:val="none" w:sz="0" w:space="0" w:color="auto"/>
        <w:left w:val="none" w:sz="0" w:space="0" w:color="auto"/>
        <w:bottom w:val="none" w:sz="0" w:space="0" w:color="auto"/>
        <w:right w:val="none" w:sz="0" w:space="0" w:color="auto"/>
      </w:divBdr>
    </w:div>
    <w:div w:id="568420789">
      <w:bodyDiv w:val="1"/>
      <w:marLeft w:val="0"/>
      <w:marRight w:val="0"/>
      <w:marTop w:val="0"/>
      <w:marBottom w:val="0"/>
      <w:divBdr>
        <w:top w:val="none" w:sz="0" w:space="0" w:color="auto"/>
        <w:left w:val="none" w:sz="0" w:space="0" w:color="auto"/>
        <w:bottom w:val="none" w:sz="0" w:space="0" w:color="auto"/>
        <w:right w:val="none" w:sz="0" w:space="0" w:color="auto"/>
      </w:divBdr>
    </w:div>
    <w:div w:id="594291116">
      <w:bodyDiv w:val="1"/>
      <w:marLeft w:val="0"/>
      <w:marRight w:val="0"/>
      <w:marTop w:val="0"/>
      <w:marBottom w:val="0"/>
      <w:divBdr>
        <w:top w:val="none" w:sz="0" w:space="0" w:color="auto"/>
        <w:left w:val="none" w:sz="0" w:space="0" w:color="auto"/>
        <w:bottom w:val="none" w:sz="0" w:space="0" w:color="auto"/>
        <w:right w:val="none" w:sz="0" w:space="0" w:color="auto"/>
      </w:divBdr>
    </w:div>
    <w:div w:id="699473988">
      <w:bodyDiv w:val="1"/>
      <w:marLeft w:val="0"/>
      <w:marRight w:val="0"/>
      <w:marTop w:val="0"/>
      <w:marBottom w:val="0"/>
      <w:divBdr>
        <w:top w:val="none" w:sz="0" w:space="0" w:color="auto"/>
        <w:left w:val="none" w:sz="0" w:space="0" w:color="auto"/>
        <w:bottom w:val="none" w:sz="0" w:space="0" w:color="auto"/>
        <w:right w:val="none" w:sz="0" w:space="0" w:color="auto"/>
      </w:divBdr>
    </w:div>
    <w:div w:id="727537072">
      <w:bodyDiv w:val="1"/>
      <w:marLeft w:val="0"/>
      <w:marRight w:val="0"/>
      <w:marTop w:val="0"/>
      <w:marBottom w:val="0"/>
      <w:divBdr>
        <w:top w:val="none" w:sz="0" w:space="0" w:color="auto"/>
        <w:left w:val="none" w:sz="0" w:space="0" w:color="auto"/>
        <w:bottom w:val="none" w:sz="0" w:space="0" w:color="auto"/>
        <w:right w:val="none" w:sz="0" w:space="0" w:color="auto"/>
      </w:divBdr>
    </w:div>
    <w:div w:id="748190503">
      <w:bodyDiv w:val="1"/>
      <w:marLeft w:val="0"/>
      <w:marRight w:val="0"/>
      <w:marTop w:val="0"/>
      <w:marBottom w:val="0"/>
      <w:divBdr>
        <w:top w:val="none" w:sz="0" w:space="0" w:color="auto"/>
        <w:left w:val="none" w:sz="0" w:space="0" w:color="auto"/>
        <w:bottom w:val="none" w:sz="0" w:space="0" w:color="auto"/>
        <w:right w:val="none" w:sz="0" w:space="0" w:color="auto"/>
      </w:divBdr>
    </w:div>
    <w:div w:id="795410609">
      <w:bodyDiv w:val="1"/>
      <w:marLeft w:val="0"/>
      <w:marRight w:val="0"/>
      <w:marTop w:val="0"/>
      <w:marBottom w:val="0"/>
      <w:divBdr>
        <w:top w:val="none" w:sz="0" w:space="0" w:color="auto"/>
        <w:left w:val="none" w:sz="0" w:space="0" w:color="auto"/>
        <w:bottom w:val="none" w:sz="0" w:space="0" w:color="auto"/>
        <w:right w:val="none" w:sz="0" w:space="0" w:color="auto"/>
      </w:divBdr>
    </w:div>
    <w:div w:id="846404273">
      <w:bodyDiv w:val="1"/>
      <w:marLeft w:val="0"/>
      <w:marRight w:val="0"/>
      <w:marTop w:val="0"/>
      <w:marBottom w:val="0"/>
      <w:divBdr>
        <w:top w:val="none" w:sz="0" w:space="0" w:color="auto"/>
        <w:left w:val="none" w:sz="0" w:space="0" w:color="auto"/>
        <w:bottom w:val="none" w:sz="0" w:space="0" w:color="auto"/>
        <w:right w:val="none" w:sz="0" w:space="0" w:color="auto"/>
      </w:divBdr>
    </w:div>
    <w:div w:id="863591191">
      <w:bodyDiv w:val="1"/>
      <w:marLeft w:val="0"/>
      <w:marRight w:val="0"/>
      <w:marTop w:val="0"/>
      <w:marBottom w:val="0"/>
      <w:divBdr>
        <w:top w:val="none" w:sz="0" w:space="0" w:color="auto"/>
        <w:left w:val="none" w:sz="0" w:space="0" w:color="auto"/>
        <w:bottom w:val="none" w:sz="0" w:space="0" w:color="auto"/>
        <w:right w:val="none" w:sz="0" w:space="0" w:color="auto"/>
      </w:divBdr>
    </w:div>
    <w:div w:id="893933539">
      <w:bodyDiv w:val="1"/>
      <w:marLeft w:val="0"/>
      <w:marRight w:val="0"/>
      <w:marTop w:val="0"/>
      <w:marBottom w:val="0"/>
      <w:divBdr>
        <w:top w:val="none" w:sz="0" w:space="0" w:color="auto"/>
        <w:left w:val="none" w:sz="0" w:space="0" w:color="auto"/>
        <w:bottom w:val="none" w:sz="0" w:space="0" w:color="auto"/>
        <w:right w:val="none" w:sz="0" w:space="0" w:color="auto"/>
      </w:divBdr>
    </w:div>
    <w:div w:id="906960993">
      <w:bodyDiv w:val="1"/>
      <w:marLeft w:val="0"/>
      <w:marRight w:val="0"/>
      <w:marTop w:val="0"/>
      <w:marBottom w:val="0"/>
      <w:divBdr>
        <w:top w:val="none" w:sz="0" w:space="0" w:color="auto"/>
        <w:left w:val="none" w:sz="0" w:space="0" w:color="auto"/>
        <w:bottom w:val="none" w:sz="0" w:space="0" w:color="auto"/>
        <w:right w:val="none" w:sz="0" w:space="0" w:color="auto"/>
      </w:divBdr>
    </w:div>
    <w:div w:id="909190734">
      <w:bodyDiv w:val="1"/>
      <w:marLeft w:val="0"/>
      <w:marRight w:val="0"/>
      <w:marTop w:val="0"/>
      <w:marBottom w:val="0"/>
      <w:divBdr>
        <w:top w:val="none" w:sz="0" w:space="0" w:color="auto"/>
        <w:left w:val="none" w:sz="0" w:space="0" w:color="auto"/>
        <w:bottom w:val="none" w:sz="0" w:space="0" w:color="auto"/>
        <w:right w:val="none" w:sz="0" w:space="0" w:color="auto"/>
      </w:divBdr>
    </w:div>
    <w:div w:id="924337390">
      <w:bodyDiv w:val="1"/>
      <w:marLeft w:val="0"/>
      <w:marRight w:val="0"/>
      <w:marTop w:val="0"/>
      <w:marBottom w:val="0"/>
      <w:divBdr>
        <w:top w:val="none" w:sz="0" w:space="0" w:color="auto"/>
        <w:left w:val="none" w:sz="0" w:space="0" w:color="auto"/>
        <w:bottom w:val="none" w:sz="0" w:space="0" w:color="auto"/>
        <w:right w:val="none" w:sz="0" w:space="0" w:color="auto"/>
      </w:divBdr>
    </w:div>
    <w:div w:id="1000812472">
      <w:bodyDiv w:val="1"/>
      <w:marLeft w:val="0"/>
      <w:marRight w:val="0"/>
      <w:marTop w:val="0"/>
      <w:marBottom w:val="0"/>
      <w:divBdr>
        <w:top w:val="none" w:sz="0" w:space="0" w:color="auto"/>
        <w:left w:val="none" w:sz="0" w:space="0" w:color="auto"/>
        <w:bottom w:val="none" w:sz="0" w:space="0" w:color="auto"/>
        <w:right w:val="none" w:sz="0" w:space="0" w:color="auto"/>
      </w:divBdr>
    </w:div>
    <w:div w:id="1045251048">
      <w:bodyDiv w:val="1"/>
      <w:marLeft w:val="0"/>
      <w:marRight w:val="0"/>
      <w:marTop w:val="0"/>
      <w:marBottom w:val="0"/>
      <w:divBdr>
        <w:top w:val="none" w:sz="0" w:space="0" w:color="auto"/>
        <w:left w:val="none" w:sz="0" w:space="0" w:color="auto"/>
        <w:bottom w:val="none" w:sz="0" w:space="0" w:color="auto"/>
        <w:right w:val="none" w:sz="0" w:space="0" w:color="auto"/>
      </w:divBdr>
    </w:div>
    <w:div w:id="1138038109">
      <w:bodyDiv w:val="1"/>
      <w:marLeft w:val="0"/>
      <w:marRight w:val="0"/>
      <w:marTop w:val="0"/>
      <w:marBottom w:val="0"/>
      <w:divBdr>
        <w:top w:val="none" w:sz="0" w:space="0" w:color="auto"/>
        <w:left w:val="none" w:sz="0" w:space="0" w:color="auto"/>
        <w:bottom w:val="none" w:sz="0" w:space="0" w:color="auto"/>
        <w:right w:val="none" w:sz="0" w:space="0" w:color="auto"/>
      </w:divBdr>
    </w:div>
    <w:div w:id="1190609339">
      <w:bodyDiv w:val="1"/>
      <w:marLeft w:val="0"/>
      <w:marRight w:val="0"/>
      <w:marTop w:val="0"/>
      <w:marBottom w:val="0"/>
      <w:divBdr>
        <w:top w:val="none" w:sz="0" w:space="0" w:color="auto"/>
        <w:left w:val="none" w:sz="0" w:space="0" w:color="auto"/>
        <w:bottom w:val="none" w:sz="0" w:space="0" w:color="auto"/>
        <w:right w:val="none" w:sz="0" w:space="0" w:color="auto"/>
      </w:divBdr>
    </w:div>
    <w:div w:id="1429620470">
      <w:bodyDiv w:val="1"/>
      <w:marLeft w:val="0"/>
      <w:marRight w:val="0"/>
      <w:marTop w:val="0"/>
      <w:marBottom w:val="0"/>
      <w:divBdr>
        <w:top w:val="none" w:sz="0" w:space="0" w:color="auto"/>
        <w:left w:val="none" w:sz="0" w:space="0" w:color="auto"/>
        <w:bottom w:val="none" w:sz="0" w:space="0" w:color="auto"/>
        <w:right w:val="none" w:sz="0" w:space="0" w:color="auto"/>
      </w:divBdr>
    </w:div>
    <w:div w:id="1522934800">
      <w:bodyDiv w:val="1"/>
      <w:marLeft w:val="0"/>
      <w:marRight w:val="0"/>
      <w:marTop w:val="0"/>
      <w:marBottom w:val="0"/>
      <w:divBdr>
        <w:top w:val="none" w:sz="0" w:space="0" w:color="auto"/>
        <w:left w:val="none" w:sz="0" w:space="0" w:color="auto"/>
        <w:bottom w:val="none" w:sz="0" w:space="0" w:color="auto"/>
        <w:right w:val="none" w:sz="0" w:space="0" w:color="auto"/>
      </w:divBdr>
    </w:div>
    <w:div w:id="1566335213">
      <w:bodyDiv w:val="1"/>
      <w:marLeft w:val="0"/>
      <w:marRight w:val="0"/>
      <w:marTop w:val="0"/>
      <w:marBottom w:val="0"/>
      <w:divBdr>
        <w:top w:val="none" w:sz="0" w:space="0" w:color="auto"/>
        <w:left w:val="none" w:sz="0" w:space="0" w:color="auto"/>
        <w:bottom w:val="none" w:sz="0" w:space="0" w:color="auto"/>
        <w:right w:val="none" w:sz="0" w:space="0" w:color="auto"/>
      </w:divBdr>
    </w:div>
    <w:div w:id="1607613743">
      <w:bodyDiv w:val="1"/>
      <w:marLeft w:val="0"/>
      <w:marRight w:val="0"/>
      <w:marTop w:val="0"/>
      <w:marBottom w:val="0"/>
      <w:divBdr>
        <w:top w:val="none" w:sz="0" w:space="0" w:color="auto"/>
        <w:left w:val="none" w:sz="0" w:space="0" w:color="auto"/>
        <w:bottom w:val="none" w:sz="0" w:space="0" w:color="auto"/>
        <w:right w:val="none" w:sz="0" w:space="0" w:color="auto"/>
      </w:divBdr>
    </w:div>
    <w:div w:id="1612973470">
      <w:bodyDiv w:val="1"/>
      <w:marLeft w:val="0"/>
      <w:marRight w:val="0"/>
      <w:marTop w:val="0"/>
      <w:marBottom w:val="0"/>
      <w:divBdr>
        <w:top w:val="none" w:sz="0" w:space="0" w:color="auto"/>
        <w:left w:val="none" w:sz="0" w:space="0" w:color="auto"/>
        <w:bottom w:val="none" w:sz="0" w:space="0" w:color="auto"/>
        <w:right w:val="none" w:sz="0" w:space="0" w:color="auto"/>
      </w:divBdr>
    </w:div>
    <w:div w:id="1660304159">
      <w:bodyDiv w:val="1"/>
      <w:marLeft w:val="0"/>
      <w:marRight w:val="0"/>
      <w:marTop w:val="0"/>
      <w:marBottom w:val="0"/>
      <w:divBdr>
        <w:top w:val="none" w:sz="0" w:space="0" w:color="auto"/>
        <w:left w:val="none" w:sz="0" w:space="0" w:color="auto"/>
        <w:bottom w:val="none" w:sz="0" w:space="0" w:color="auto"/>
        <w:right w:val="none" w:sz="0" w:space="0" w:color="auto"/>
      </w:divBdr>
    </w:div>
    <w:div w:id="1709449880">
      <w:bodyDiv w:val="1"/>
      <w:marLeft w:val="0"/>
      <w:marRight w:val="0"/>
      <w:marTop w:val="0"/>
      <w:marBottom w:val="0"/>
      <w:divBdr>
        <w:top w:val="none" w:sz="0" w:space="0" w:color="auto"/>
        <w:left w:val="none" w:sz="0" w:space="0" w:color="auto"/>
        <w:bottom w:val="none" w:sz="0" w:space="0" w:color="auto"/>
        <w:right w:val="none" w:sz="0" w:space="0" w:color="auto"/>
      </w:divBdr>
    </w:div>
    <w:div w:id="1739086729">
      <w:bodyDiv w:val="1"/>
      <w:marLeft w:val="0"/>
      <w:marRight w:val="0"/>
      <w:marTop w:val="0"/>
      <w:marBottom w:val="0"/>
      <w:divBdr>
        <w:top w:val="none" w:sz="0" w:space="0" w:color="auto"/>
        <w:left w:val="none" w:sz="0" w:space="0" w:color="auto"/>
        <w:bottom w:val="none" w:sz="0" w:space="0" w:color="auto"/>
        <w:right w:val="none" w:sz="0" w:space="0" w:color="auto"/>
      </w:divBdr>
    </w:div>
    <w:div w:id="1767068720">
      <w:bodyDiv w:val="1"/>
      <w:marLeft w:val="0"/>
      <w:marRight w:val="0"/>
      <w:marTop w:val="0"/>
      <w:marBottom w:val="0"/>
      <w:divBdr>
        <w:top w:val="none" w:sz="0" w:space="0" w:color="auto"/>
        <w:left w:val="none" w:sz="0" w:space="0" w:color="auto"/>
        <w:bottom w:val="none" w:sz="0" w:space="0" w:color="auto"/>
        <w:right w:val="none" w:sz="0" w:space="0" w:color="auto"/>
      </w:divBdr>
    </w:div>
    <w:div w:id="1938101687">
      <w:bodyDiv w:val="1"/>
      <w:marLeft w:val="0"/>
      <w:marRight w:val="0"/>
      <w:marTop w:val="0"/>
      <w:marBottom w:val="0"/>
      <w:divBdr>
        <w:top w:val="none" w:sz="0" w:space="0" w:color="auto"/>
        <w:left w:val="none" w:sz="0" w:space="0" w:color="auto"/>
        <w:bottom w:val="none" w:sz="0" w:space="0" w:color="auto"/>
        <w:right w:val="none" w:sz="0" w:space="0" w:color="auto"/>
      </w:divBdr>
    </w:div>
    <w:div w:id="1960258527">
      <w:bodyDiv w:val="1"/>
      <w:marLeft w:val="0"/>
      <w:marRight w:val="0"/>
      <w:marTop w:val="0"/>
      <w:marBottom w:val="0"/>
      <w:divBdr>
        <w:top w:val="none" w:sz="0" w:space="0" w:color="auto"/>
        <w:left w:val="none" w:sz="0" w:space="0" w:color="auto"/>
        <w:bottom w:val="none" w:sz="0" w:space="0" w:color="auto"/>
        <w:right w:val="none" w:sz="0" w:space="0" w:color="auto"/>
      </w:divBdr>
    </w:div>
    <w:div w:id="1962876238">
      <w:bodyDiv w:val="1"/>
      <w:marLeft w:val="0"/>
      <w:marRight w:val="0"/>
      <w:marTop w:val="0"/>
      <w:marBottom w:val="0"/>
      <w:divBdr>
        <w:top w:val="none" w:sz="0" w:space="0" w:color="auto"/>
        <w:left w:val="none" w:sz="0" w:space="0" w:color="auto"/>
        <w:bottom w:val="none" w:sz="0" w:space="0" w:color="auto"/>
        <w:right w:val="none" w:sz="0" w:space="0" w:color="auto"/>
      </w:divBdr>
    </w:div>
    <w:div w:id="1979920138">
      <w:bodyDiv w:val="1"/>
      <w:marLeft w:val="0"/>
      <w:marRight w:val="0"/>
      <w:marTop w:val="0"/>
      <w:marBottom w:val="0"/>
      <w:divBdr>
        <w:top w:val="none" w:sz="0" w:space="0" w:color="auto"/>
        <w:left w:val="none" w:sz="0" w:space="0" w:color="auto"/>
        <w:bottom w:val="none" w:sz="0" w:space="0" w:color="auto"/>
        <w:right w:val="none" w:sz="0" w:space="0" w:color="auto"/>
      </w:divBdr>
    </w:div>
    <w:div w:id="1996570881">
      <w:bodyDiv w:val="1"/>
      <w:marLeft w:val="0"/>
      <w:marRight w:val="0"/>
      <w:marTop w:val="0"/>
      <w:marBottom w:val="0"/>
      <w:divBdr>
        <w:top w:val="none" w:sz="0" w:space="0" w:color="auto"/>
        <w:left w:val="none" w:sz="0" w:space="0" w:color="auto"/>
        <w:bottom w:val="none" w:sz="0" w:space="0" w:color="auto"/>
        <w:right w:val="none" w:sz="0" w:space="0" w:color="auto"/>
      </w:divBdr>
    </w:div>
    <w:div w:id="2073504475">
      <w:bodyDiv w:val="1"/>
      <w:marLeft w:val="0"/>
      <w:marRight w:val="0"/>
      <w:marTop w:val="0"/>
      <w:marBottom w:val="0"/>
      <w:divBdr>
        <w:top w:val="none" w:sz="0" w:space="0" w:color="auto"/>
        <w:left w:val="none" w:sz="0" w:space="0" w:color="auto"/>
        <w:bottom w:val="none" w:sz="0" w:space="0" w:color="auto"/>
        <w:right w:val="none" w:sz="0" w:space="0" w:color="auto"/>
      </w:divBdr>
    </w:div>
    <w:div w:id="21004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891C-6E63-C54E-B424-DC54D59D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Keith</cp:lastModifiedBy>
  <cp:revision>4</cp:revision>
  <cp:lastPrinted>2021-03-09T16:42:00Z</cp:lastPrinted>
  <dcterms:created xsi:type="dcterms:W3CDTF">2021-06-07T21:37:00Z</dcterms:created>
  <dcterms:modified xsi:type="dcterms:W3CDTF">2021-06-08T17:47:00Z</dcterms:modified>
</cp:coreProperties>
</file>