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AC35F" w14:textId="77777777" w:rsidR="002B2AD9" w:rsidRDefault="002B2AD9" w:rsidP="002B2AD9">
      <w:pPr>
        <w:pStyle w:val="Heading1"/>
        <w:spacing w:after="0"/>
        <w:rPr>
          <w:rFonts w:asciiTheme="minorHAnsi" w:hAnsiTheme="minorHAnsi" w:cstheme="minorHAnsi"/>
          <w:i/>
          <w:sz w:val="24"/>
          <w:szCs w:val="24"/>
        </w:rPr>
      </w:pPr>
      <w:r w:rsidRPr="002B2AD9">
        <w:rPr>
          <w:rFonts w:asciiTheme="minorHAnsi" w:hAnsiTheme="minorHAnsi" w:cstheme="minorHAnsi"/>
          <w:i/>
          <w:sz w:val="24"/>
          <w:szCs w:val="24"/>
        </w:rPr>
        <w:t>Exploring Marine Primary Productivity with Descriptive Statistics and Graphing in Excel</w:t>
      </w:r>
    </w:p>
    <w:p w14:paraId="00000002" w14:textId="317C8F1B" w:rsidR="004C72A9" w:rsidRDefault="009C6ED4" w:rsidP="009C6ED4">
      <w:pPr>
        <w:pStyle w:val="Heading1"/>
        <w:spacing w:after="360"/>
      </w:pPr>
      <w:r w:rsidRPr="009C6ED4">
        <w:t>Statistics Background Info (Definitions)</w:t>
      </w:r>
      <w:bookmarkStart w:id="0" w:name="_heading=h.gjdgxs" w:colFirst="0" w:colLast="0"/>
      <w:bookmarkEnd w:id="0"/>
    </w:p>
    <w:p w14:paraId="00000004" w14:textId="3E2BCC0F" w:rsidR="004C72A9" w:rsidRDefault="00E81B39" w:rsidP="009C6ED4">
      <w:pPr>
        <w:ind w:left="180" w:hanging="180"/>
        <w:rPr>
          <w:rFonts w:ascii="Times New Roman" w:hAnsi="Times New Roman" w:cs="Times New Roman"/>
        </w:rPr>
      </w:pPr>
      <w:r w:rsidRPr="009C6ED4">
        <w:rPr>
          <w:b/>
        </w:rPr>
        <w:t>Descriptive Statistics</w:t>
      </w:r>
      <w:r w:rsidRPr="009C6ED4">
        <w:t xml:space="preserve"> </w:t>
      </w:r>
      <w:r w:rsidR="009C6ED4">
        <w:t xml:space="preserve">– Descriptive </w:t>
      </w:r>
      <w:r w:rsidRPr="009C6ED4">
        <w:t>statistics is the branch of statistics focused on various ways to organize, summarize</w:t>
      </w:r>
      <w:r w:rsidR="009C6ED4">
        <w:t>,</w:t>
      </w:r>
      <w:r w:rsidRPr="009C6ED4">
        <w:t xml:space="preserve"> and display data. Descriptive statistics can also refer to the actual calculations and graphs created.</w:t>
      </w:r>
    </w:p>
    <w:p w14:paraId="00000006" w14:textId="6B33F34D" w:rsidR="004C72A9" w:rsidRDefault="00E81B39" w:rsidP="009C6ED4">
      <w:pPr>
        <w:ind w:left="180" w:hanging="180"/>
      </w:pPr>
      <w:r>
        <w:rPr>
          <w:b/>
        </w:rPr>
        <w:t>Outlier</w:t>
      </w:r>
      <w:r>
        <w:t xml:space="preserve"> – An outlier is a value in your data set that obviously does not fit with the data set in some way. Outliers have different causes – they may be due to a typo, a sensor malfunction, or a highly unusual (but valid) event occurring as part of your data set. Because of the differing causes, it’s impossible to have a single rule with which to identify them all. You have to use your judgement and assessment of the situation to identify them. Although outliers are often high/low values in a data set, keep in mind that not all extreme values are outliers; not all outliers are extreme values.</w:t>
      </w:r>
    </w:p>
    <w:p w14:paraId="0000000A" w14:textId="7B32D4AF" w:rsidR="004C72A9" w:rsidRDefault="0064264A" w:rsidP="00265A81">
      <w:pPr>
        <w:spacing w:after="0"/>
        <w:ind w:left="180" w:hanging="180"/>
      </w:pPr>
      <w:sdt>
        <w:sdtPr>
          <w:tag w:val="goog_rdk_1"/>
          <w:id w:val="-724840669"/>
        </w:sdtPr>
        <w:sdtEndPr/>
        <w:sdtContent/>
      </w:sdt>
      <w:sdt>
        <w:sdtPr>
          <w:tag w:val="goog_rdk_2"/>
          <w:id w:val="-376081865"/>
        </w:sdtPr>
        <w:sdtEndPr/>
        <w:sdtContent/>
      </w:sdt>
      <w:r w:rsidR="00E81B39">
        <w:rPr>
          <w:b/>
        </w:rPr>
        <w:t>Dependent</w:t>
      </w:r>
      <w:r w:rsidR="009C6ED4">
        <w:rPr>
          <w:b/>
        </w:rPr>
        <w:t xml:space="preserve"> &amp; Independent</w:t>
      </w:r>
      <w:r w:rsidR="00E81B39">
        <w:rPr>
          <w:b/>
        </w:rPr>
        <w:t xml:space="preserve"> Variable</w:t>
      </w:r>
      <w:r w:rsidR="009C6ED4">
        <w:rPr>
          <w:b/>
        </w:rPr>
        <w:t>s</w:t>
      </w:r>
      <w:r w:rsidR="00E81B39">
        <w:t xml:space="preserve"> – </w:t>
      </w:r>
      <w:r w:rsidR="009C6ED4">
        <w:t>W</w:t>
      </w:r>
      <w:r w:rsidR="00E81B39">
        <w:t xml:space="preserve">hen looking at paired data, one variable is called the </w:t>
      </w:r>
      <w:r w:rsidR="00E81B39" w:rsidRPr="009C6ED4">
        <w:rPr>
          <w:i/>
        </w:rPr>
        <w:t>independent variable</w:t>
      </w:r>
      <w:r w:rsidR="00E81B39">
        <w:t xml:space="preserve"> and the other is the </w:t>
      </w:r>
      <w:r w:rsidR="00E81B39" w:rsidRPr="009C6ED4">
        <w:rPr>
          <w:i/>
        </w:rPr>
        <w:t>dependent variable</w:t>
      </w:r>
      <w:r w:rsidR="00E81B39">
        <w:t xml:space="preserve">. The </w:t>
      </w:r>
      <w:r w:rsidR="00E81B39" w:rsidRPr="009C6ED4">
        <w:rPr>
          <w:i/>
        </w:rPr>
        <w:t>dependent variable</w:t>
      </w:r>
      <w:r w:rsidR="00E81B39">
        <w:t xml:space="preserve"> (often called y) is the variable whose values </w:t>
      </w:r>
      <w:r w:rsidR="009C6ED4">
        <w:t>are suspected to</w:t>
      </w:r>
      <w:r w:rsidR="00E81B39">
        <w:t xml:space="preserve"> change depending on the value of the </w:t>
      </w:r>
      <w:r w:rsidR="00E81B39" w:rsidRPr="009C6ED4">
        <w:rPr>
          <w:i/>
        </w:rPr>
        <w:t>independent variable</w:t>
      </w:r>
      <w:r w:rsidR="00E81B39">
        <w:t xml:space="preserve"> (often called x). Another way to think of the choice of variables is the </w:t>
      </w:r>
      <w:r w:rsidR="00E81B39" w:rsidRPr="009C6ED4">
        <w:rPr>
          <w:i/>
        </w:rPr>
        <w:t>independent variable</w:t>
      </w:r>
      <w:r w:rsidR="00E81B39">
        <w:t xml:space="preserve"> is the input or explanatory variable. The </w:t>
      </w:r>
      <w:r w:rsidR="00E81B39" w:rsidRPr="009C6ED4">
        <w:rPr>
          <w:i/>
        </w:rPr>
        <w:t>dependent</w:t>
      </w:r>
      <w:r w:rsidR="009C6ED4" w:rsidRPr="009C6ED4">
        <w:rPr>
          <w:i/>
        </w:rPr>
        <w:t xml:space="preserve"> variable</w:t>
      </w:r>
      <w:r w:rsidR="00E81B39">
        <w:t xml:space="preserve"> </w:t>
      </w:r>
      <w:r w:rsidR="00265A81">
        <w:t>is the</w:t>
      </w:r>
      <w:r w:rsidR="00E81B39">
        <w:t xml:space="preserve"> output </w:t>
      </w:r>
      <w:r w:rsidR="00265A81">
        <w:t xml:space="preserve">and </w:t>
      </w:r>
      <w:r w:rsidR="00E81B39">
        <w:t xml:space="preserve">can be thought of as the response variable. If you suspect the value of y depends on the value of x, </w:t>
      </w:r>
      <w:r w:rsidR="00265A81">
        <w:t>x</w:t>
      </w:r>
      <w:r w:rsidR="00E81B39">
        <w:t xml:space="preserve"> is chosen as the </w:t>
      </w:r>
      <w:r w:rsidR="00265A81">
        <w:t>in</w:t>
      </w:r>
      <w:r w:rsidR="00E81B39" w:rsidRPr="00265A81">
        <w:rPr>
          <w:i/>
        </w:rPr>
        <w:t>dependent variable</w:t>
      </w:r>
      <w:r w:rsidR="00265A81">
        <w:t xml:space="preserve"> and y is chosen as the </w:t>
      </w:r>
      <w:r w:rsidR="00265A81">
        <w:rPr>
          <w:i/>
        </w:rPr>
        <w:t>dependent variable</w:t>
      </w:r>
      <w:r w:rsidR="00265A81">
        <w:t>.</w:t>
      </w:r>
    </w:p>
    <w:p w14:paraId="69960D83" w14:textId="6FAF478D" w:rsidR="00265A81" w:rsidRDefault="00265A81" w:rsidP="00265A81">
      <w:pPr>
        <w:spacing w:after="0"/>
        <w:ind w:left="180" w:hanging="180"/>
        <w:rPr>
          <w:i/>
        </w:rPr>
      </w:pPr>
      <w:r>
        <w:rPr>
          <w:b/>
        </w:rPr>
        <w:tab/>
      </w:r>
      <w:r>
        <w:rPr>
          <w:b/>
          <w:i/>
        </w:rPr>
        <w:t xml:space="preserve">Independent Variable: </w:t>
      </w:r>
      <w:r>
        <w:rPr>
          <w:i/>
        </w:rPr>
        <w:t>x, “explanatory variable”</w:t>
      </w:r>
    </w:p>
    <w:p w14:paraId="7A0B1FA0" w14:textId="369EA1C7" w:rsidR="00265A81" w:rsidRDefault="00265A81" w:rsidP="00265A81">
      <w:pPr>
        <w:ind w:left="180" w:hanging="180"/>
        <w:rPr>
          <w:i/>
        </w:rPr>
      </w:pPr>
      <w:r>
        <w:rPr>
          <w:b/>
          <w:i/>
        </w:rPr>
        <w:tab/>
        <w:t xml:space="preserve">Dependent Variable: </w:t>
      </w:r>
      <w:r>
        <w:rPr>
          <w:i/>
        </w:rPr>
        <w:t>y, “response variable”</w:t>
      </w:r>
    </w:p>
    <w:p w14:paraId="63847C3B" w14:textId="235F5A9E" w:rsidR="0061156D" w:rsidRDefault="00265A81" w:rsidP="0061156D">
      <w:pPr>
        <w:ind w:left="180" w:hanging="180"/>
        <w:rPr>
          <w:b/>
        </w:rPr>
      </w:pPr>
      <w:r>
        <w:rPr>
          <w:b/>
        </w:rPr>
        <w:t xml:space="preserve">Mean </w:t>
      </w:r>
      <w:r w:rsidRPr="00265A81">
        <w:t xml:space="preserve">– </w:t>
      </w:r>
      <w:r>
        <w:t>The mean is a common way to measure the center of a data set. To find the mean, you add up all the numbers in the data set, then divide by the number of value</w:t>
      </w:r>
      <w:r w:rsidR="0061156D">
        <w:t>s</w:t>
      </w:r>
      <w:r>
        <w:t xml:space="preserve">. </w:t>
      </w:r>
      <w:r w:rsidR="0061156D">
        <w:t>That is:</w:t>
      </w:r>
      <w:r w:rsidR="0061156D" w:rsidRPr="0061156D">
        <w:rPr>
          <w:position w:val="-24"/>
        </w:rPr>
        <w:object w:dxaOrig="1140" w:dyaOrig="620" w14:anchorId="48EA4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31.25pt" o:ole="">
            <v:imagedata r:id="rId8" o:title=""/>
          </v:shape>
          <o:OLEObject Type="Embed" ProgID="Equation.DSMT4" ShapeID="_x0000_i1025" DrawAspect="Content" ObjectID="_1692090609" r:id="rId9"/>
        </w:object>
      </w:r>
      <w:r>
        <w:t>. T</w:t>
      </w:r>
      <w:r w:rsidR="0061156D">
        <w:t>he mean</w:t>
      </w:r>
      <w:r>
        <w:t xml:space="preserve"> is commonly called an </w:t>
      </w:r>
      <w:r w:rsidR="0061156D">
        <w:t>“</w:t>
      </w:r>
      <w:r>
        <w:t>average</w:t>
      </w:r>
      <w:r w:rsidR="0061156D">
        <w:t>”</w:t>
      </w:r>
      <w:r>
        <w:t>; however, statisticians prefer to use the more precise term</w:t>
      </w:r>
      <w:r w:rsidR="0061156D">
        <w:t xml:space="preserve">, mean. The mean of an entire population is denoted by </w:t>
      </w:r>
      <w:r w:rsidR="0061156D" w:rsidRPr="0061156D">
        <w:rPr>
          <w:position w:val="-10"/>
        </w:rPr>
        <w:object w:dxaOrig="240" w:dyaOrig="260" w14:anchorId="7A978B8C">
          <v:shape id="_x0000_i1026" type="#_x0000_t75" style="width:12.25pt;height:12.9pt" o:ole="">
            <v:imagedata r:id="rId10" o:title=""/>
          </v:shape>
          <o:OLEObject Type="Embed" ProgID="Equation.DSMT4" ShapeID="_x0000_i1026" DrawAspect="Content" ObjectID="_1692090610" r:id="rId11"/>
        </w:object>
      </w:r>
      <w:r w:rsidR="0061156D">
        <w:t xml:space="preserve"> (the Greek letter mu), and the mean of a sample is denoted by </w:t>
      </w:r>
      <w:r w:rsidR="0061156D" w:rsidRPr="0061156D">
        <w:rPr>
          <w:position w:val="-6"/>
        </w:rPr>
        <w:object w:dxaOrig="220" w:dyaOrig="260" w14:anchorId="66106179">
          <v:shape id="_x0000_i1027" type="#_x0000_t75" style="width:11.55pt;height:12.9pt" o:ole="">
            <v:imagedata r:id="rId12" o:title=""/>
          </v:shape>
          <o:OLEObject Type="Embed" ProgID="Equation.DSMT4" ShapeID="_x0000_i1027" DrawAspect="Content" ObjectID="_1692090611" r:id="rId13"/>
        </w:object>
      </w:r>
      <w:r w:rsidR="0061156D">
        <w:t xml:space="preserve"> (read as “x-bar”).</w:t>
      </w:r>
      <w:r w:rsidR="0061156D" w:rsidRPr="0061156D">
        <w:rPr>
          <w:b/>
        </w:rPr>
        <w:t xml:space="preserve"> </w:t>
      </w:r>
    </w:p>
    <w:p w14:paraId="51D2744E" w14:textId="516E943A" w:rsidR="0061156D" w:rsidRDefault="0061156D" w:rsidP="0061156D">
      <w:pPr>
        <w:ind w:left="180" w:hanging="180"/>
      </w:pPr>
      <w:r>
        <w:rPr>
          <w:b/>
        </w:rPr>
        <w:t>Median</w:t>
      </w:r>
      <w:r>
        <w:t xml:space="preserve"> – The median is another commonly used measurement of the center of a data set. In any data set, 50% of the values lie above the median, 50% below. Although you’ll be using Excel to find the median, it’s instructive to see the manual definition. Another name for the median is the second quartile, denoted </w:t>
      </w:r>
      <w:r w:rsidRPr="0061156D">
        <w:rPr>
          <w:position w:val="-12"/>
        </w:rPr>
        <w:object w:dxaOrig="300" w:dyaOrig="360" w14:anchorId="4FB38750">
          <v:shape id="_x0000_i1028" type="#_x0000_t75" style="width:14.95pt;height:18.35pt" o:ole="">
            <v:imagedata r:id="rId14" o:title=""/>
          </v:shape>
          <o:OLEObject Type="Embed" ProgID="Equation.DSMT4" ShapeID="_x0000_i1028" DrawAspect="Content" ObjectID="_1692090612" r:id="rId15"/>
        </w:object>
      </w:r>
      <w:r>
        <w:t>.</w:t>
      </w:r>
    </w:p>
    <w:p w14:paraId="11C4BE70" w14:textId="26CE0D34" w:rsidR="0061156D" w:rsidRDefault="0061156D" w:rsidP="0061156D">
      <w:pPr>
        <w:spacing w:after="0"/>
        <w:ind w:left="180"/>
      </w:pPr>
      <w:r>
        <w:t>To find the median:</w:t>
      </w:r>
    </w:p>
    <w:p w14:paraId="43CA89F5" w14:textId="77777777" w:rsidR="0061156D" w:rsidRDefault="0061156D" w:rsidP="0061156D">
      <w:pPr>
        <w:spacing w:after="0"/>
        <w:ind w:left="180" w:hanging="180"/>
      </w:pPr>
      <w:r>
        <w:rPr>
          <w:rFonts w:ascii="Calibri" w:eastAsia="Calibri" w:hAnsi="Calibri" w:cs="Calibri"/>
          <w:sz w:val="22"/>
          <w:szCs w:val="22"/>
        </w:rPr>
        <w:t xml:space="preserve">     </w:t>
      </w:r>
      <w:r>
        <w:t>1) Write the data in order from smallest to largest. Let n=size of the data set.</w:t>
      </w:r>
    </w:p>
    <w:p w14:paraId="4C1B497B" w14:textId="4E313B58" w:rsidR="0061156D" w:rsidRDefault="0061156D" w:rsidP="0061156D">
      <w:pPr>
        <w:spacing w:after="0"/>
        <w:ind w:left="180" w:hanging="180"/>
      </w:pPr>
      <w:r>
        <w:t xml:space="preserve">    2) If n is odd, the median is the number exactly in the middle of the sorted data set.</w:t>
      </w:r>
    </w:p>
    <w:p w14:paraId="7EB10D7B" w14:textId="2373C932" w:rsidR="00265A81" w:rsidRPr="00265A81" w:rsidRDefault="0061156D" w:rsidP="0061156D">
      <w:pPr>
        <w:ind w:left="180" w:hanging="180"/>
      </w:pPr>
      <w:r>
        <w:t xml:space="preserve">    3) If n is even, the median is the mean of the two numbers in the middle.</w:t>
      </w:r>
    </w:p>
    <w:p w14:paraId="7EC64A8B" w14:textId="77777777" w:rsidR="00265A81" w:rsidRDefault="00E81B39" w:rsidP="00265A81">
      <w:pPr>
        <w:spacing w:after="0"/>
        <w:ind w:left="180" w:hanging="180"/>
      </w:pPr>
      <w:r>
        <w:rPr>
          <w:b/>
        </w:rPr>
        <w:t xml:space="preserve">Standard Deviation </w:t>
      </w:r>
      <w:r w:rsidRPr="00265A81">
        <w:t xml:space="preserve">– </w:t>
      </w:r>
      <w:r>
        <w:t xml:space="preserve">The standard deviation is a measure of how </w:t>
      </w:r>
      <w:r w:rsidR="00265A81">
        <w:t>“</w:t>
      </w:r>
      <w:r>
        <w:t>spread out</w:t>
      </w:r>
      <w:r w:rsidR="00265A81">
        <w:t>”</w:t>
      </w:r>
      <w:r>
        <w:t xml:space="preserve"> the data are. The larger the standard deviation of a data set, the more variation there is in th</w:t>
      </w:r>
      <w:r w:rsidR="00265A81">
        <w:t>at</w:t>
      </w:r>
      <w:r>
        <w:t xml:space="preserve"> data set. </w:t>
      </w:r>
      <w:r>
        <w:rPr>
          <w:i/>
        </w:rPr>
        <w:t xml:space="preserve">Informally, </w:t>
      </w:r>
      <w:r>
        <w:t xml:space="preserve">you can </w:t>
      </w:r>
      <w:r>
        <w:lastRenderedPageBreak/>
        <w:t>think of the standard deviation as the average distance the data points are from the mean. [Note: this is not formally true, but is close enough to provide a good way to conceptualize it.] Formally</w:t>
      </w:r>
      <w:r w:rsidR="00265A81">
        <w:t>,</w:t>
      </w:r>
      <w:r>
        <w:t xml:space="preserve"> </w:t>
      </w:r>
      <w:r w:rsidR="00265A81">
        <w:t>we have two different formulas:</w:t>
      </w:r>
    </w:p>
    <w:p w14:paraId="727861BE" w14:textId="644E8545" w:rsidR="00265A81" w:rsidRDefault="00265A81" w:rsidP="00265A81">
      <w:pPr>
        <w:pStyle w:val="ListParagraph"/>
        <w:numPr>
          <w:ilvl w:val="0"/>
          <w:numId w:val="2"/>
        </w:numPr>
      </w:pPr>
      <w:r w:rsidRPr="00265A81">
        <w:rPr>
          <w:position w:val="-26"/>
          <w:vertAlign w:val="subscript"/>
        </w:rPr>
        <w:object w:dxaOrig="5240" w:dyaOrig="780" w14:anchorId="2243C334">
          <v:shape id="_x0000_i1029" type="#_x0000_t75" style="width:262.2pt;height:38.7pt" o:ole="">
            <v:imagedata r:id="rId16" o:title=""/>
          </v:shape>
          <o:OLEObject Type="Embed" ProgID="Equation.DSMT4" ShapeID="_x0000_i1029" DrawAspect="Content" ObjectID="_1692090613" r:id="rId17"/>
        </w:object>
      </w:r>
      <w:r w:rsidRPr="00265A81">
        <w:rPr>
          <w:sz w:val="40"/>
          <w:szCs w:val="40"/>
          <w:vertAlign w:val="subscript"/>
        </w:rPr>
        <w:t xml:space="preserve"> </w:t>
      </w:r>
      <w:r>
        <w:t>(</w:t>
      </w:r>
      <w:r w:rsidRPr="00265A81">
        <w:rPr>
          <w:position w:val="-6"/>
        </w:rPr>
        <w:object w:dxaOrig="279" w:dyaOrig="279" w14:anchorId="3D6450FD">
          <v:shape id="_x0000_i1030" type="#_x0000_t75" style="width:14.25pt;height:14.25pt" o:ole="">
            <v:imagedata r:id="rId18" o:title=""/>
          </v:shape>
          <o:OLEObject Type="Embed" ProgID="Equation.DSMT4" ShapeID="_x0000_i1030" DrawAspect="Content" ObjectID="_1692090614" r:id="rId19"/>
        </w:object>
      </w:r>
      <w:r>
        <w:t xml:space="preserve"> is the population size)</w:t>
      </w:r>
    </w:p>
    <w:p w14:paraId="5652B2E8" w14:textId="7FE49704" w:rsidR="00265A81" w:rsidRDefault="00265A81" w:rsidP="00265A81">
      <w:pPr>
        <w:pStyle w:val="ListParagraph"/>
        <w:numPr>
          <w:ilvl w:val="0"/>
          <w:numId w:val="2"/>
        </w:numPr>
      </w:pPr>
      <w:r w:rsidRPr="00265A81">
        <w:rPr>
          <w:position w:val="-26"/>
          <w:vertAlign w:val="subscript"/>
        </w:rPr>
        <w:object w:dxaOrig="4580" w:dyaOrig="780" w14:anchorId="42A2EE3F">
          <v:shape id="_x0000_i1031" type="#_x0000_t75" style="width:228.9pt;height:38.7pt" o:ole="">
            <v:imagedata r:id="rId20" o:title=""/>
          </v:shape>
          <o:OLEObject Type="Embed" ProgID="Equation.DSMT4" ShapeID="_x0000_i1031" DrawAspect="Content" ObjectID="_1692090615" r:id="rId21"/>
        </w:object>
      </w:r>
      <w:r>
        <w:t xml:space="preserve"> (</w:t>
      </w:r>
      <w:r w:rsidRPr="00265A81">
        <w:rPr>
          <w:position w:val="-6"/>
        </w:rPr>
        <w:object w:dxaOrig="200" w:dyaOrig="220" w14:anchorId="25D78794">
          <v:shape id="_x0000_i1032" type="#_x0000_t75" style="width:10.2pt;height:11.55pt" o:ole="">
            <v:imagedata r:id="rId22" o:title=""/>
          </v:shape>
          <o:OLEObject Type="Embed" ProgID="Equation.DSMT4" ShapeID="_x0000_i1032" DrawAspect="Content" ObjectID="_1692090616" r:id="rId23"/>
        </w:object>
      </w:r>
      <w:r>
        <w:t xml:space="preserve"> is the sample size)</w:t>
      </w:r>
    </w:p>
    <w:p w14:paraId="00000014" w14:textId="2BFA3930" w:rsidR="004C72A9" w:rsidRDefault="00E81B39" w:rsidP="0061156D">
      <w:pPr>
        <w:ind w:left="180"/>
      </w:pPr>
      <w:r>
        <w:t>Note that the standard deviation formula is different whether your data set is from a</w:t>
      </w:r>
      <w:r w:rsidR="00265A81">
        <w:t>n entire</w:t>
      </w:r>
      <w:r>
        <w:t xml:space="preserve"> population or a sample, so be sure to use the appropriate command in Excel.</w:t>
      </w:r>
    </w:p>
    <w:p w14:paraId="00000016" w14:textId="3945AFA9" w:rsidR="004C72A9" w:rsidRDefault="00E81B39" w:rsidP="00E81B39">
      <w:pPr>
        <w:spacing w:after="0"/>
        <w:ind w:left="180" w:hanging="180"/>
      </w:pPr>
      <w:r>
        <w:rPr>
          <w:b/>
        </w:rPr>
        <w:t>Quartiles</w:t>
      </w:r>
      <w:r>
        <w:t xml:space="preserve"> – Every data set has three numbers</w:t>
      </w:r>
      <w:r w:rsidR="0061156D">
        <w:t xml:space="preserve"> (known as quartiles)</w:t>
      </w:r>
      <w:r>
        <w:t xml:space="preserve"> — </w:t>
      </w:r>
      <w:r w:rsidR="0061156D" w:rsidRPr="0061156D">
        <w:rPr>
          <w:position w:val="-12"/>
        </w:rPr>
        <w:object w:dxaOrig="279" w:dyaOrig="360" w14:anchorId="06EE9918">
          <v:shape id="_x0000_i1033" type="#_x0000_t75" style="width:14.25pt;height:18.35pt" o:ole="">
            <v:imagedata r:id="rId24" o:title=""/>
          </v:shape>
          <o:OLEObject Type="Embed" ProgID="Equation.DSMT4" ShapeID="_x0000_i1033" DrawAspect="Content" ObjectID="_1692090617" r:id="rId25"/>
        </w:object>
      </w:r>
      <w:r w:rsidR="0061156D">
        <w:rPr>
          <w:sz w:val="40"/>
          <w:szCs w:val="40"/>
          <w:vertAlign w:val="subscript"/>
        </w:rPr>
        <w:t xml:space="preserve">, </w:t>
      </w:r>
      <w:r w:rsidR="0061156D" w:rsidRPr="0061156D">
        <w:rPr>
          <w:position w:val="-12"/>
        </w:rPr>
        <w:object w:dxaOrig="300" w:dyaOrig="360" w14:anchorId="21BECD0F">
          <v:shape id="_x0000_i1034" type="#_x0000_t75" style="width:14.95pt;height:18.35pt" o:ole="">
            <v:imagedata r:id="rId26" o:title=""/>
          </v:shape>
          <o:OLEObject Type="Embed" ProgID="Equation.DSMT4" ShapeID="_x0000_i1034" DrawAspect="Content" ObjectID="_1692090618" r:id="rId27"/>
        </w:object>
      </w:r>
      <w:r w:rsidR="0061156D">
        <w:rPr>
          <w:sz w:val="40"/>
          <w:szCs w:val="40"/>
          <w:vertAlign w:val="subscript"/>
        </w:rPr>
        <w:t xml:space="preserve">, </w:t>
      </w:r>
      <w:r w:rsidR="0061156D" w:rsidRPr="0061156D">
        <w:rPr>
          <w:position w:val="-12"/>
        </w:rPr>
        <w:object w:dxaOrig="300" w:dyaOrig="360" w14:anchorId="54336C58">
          <v:shape id="_x0000_i1035" type="#_x0000_t75" style="width:14.95pt;height:18.35pt" o:ole="">
            <v:imagedata r:id="rId28" o:title=""/>
          </v:shape>
          <o:OLEObject Type="Embed" ProgID="Equation.DSMT4" ShapeID="_x0000_i1035" DrawAspect="Content" ObjectID="_1692090619" r:id="rId29"/>
        </w:object>
      </w:r>
      <w:r>
        <w:t>—</w:t>
      </w:r>
      <w:r w:rsidR="0061156D">
        <w:rPr>
          <w:sz w:val="40"/>
          <w:szCs w:val="40"/>
          <w:vertAlign w:val="subscript"/>
        </w:rPr>
        <w:t xml:space="preserve"> </w:t>
      </w:r>
      <w:r>
        <w:t>that divide the data set into 4 parts.</w:t>
      </w:r>
    </w:p>
    <w:p w14:paraId="00000017" w14:textId="7F093B47" w:rsidR="004C72A9" w:rsidRDefault="00E81B39" w:rsidP="00E81B39">
      <w:pPr>
        <w:pStyle w:val="ListParagraph"/>
        <w:numPr>
          <w:ilvl w:val="0"/>
          <w:numId w:val="3"/>
        </w:numPr>
        <w:ind w:left="270" w:hanging="180"/>
      </w:pPr>
      <w:r w:rsidRPr="00E81B39">
        <w:rPr>
          <w:position w:val="-12"/>
        </w:rPr>
        <w:object w:dxaOrig="279" w:dyaOrig="360" w14:anchorId="665B6971">
          <v:shape id="_x0000_i1036" type="#_x0000_t75" style="width:14.25pt;height:18.35pt" o:ole="">
            <v:imagedata r:id="rId30" o:title=""/>
          </v:shape>
          <o:OLEObject Type="Embed" ProgID="Equation.DSMT4" ShapeID="_x0000_i1036" DrawAspect="Content" ObjectID="_1692090620" r:id="rId31"/>
        </w:object>
      </w:r>
      <w:r>
        <w:t xml:space="preserve"> (the first quartile)</w:t>
      </w:r>
      <w:r w:rsidRPr="00E81B39">
        <w:rPr>
          <w:sz w:val="40"/>
          <w:szCs w:val="40"/>
          <w:vertAlign w:val="subscript"/>
        </w:rPr>
        <w:t xml:space="preserve"> </w:t>
      </w:r>
      <w:r>
        <w:t>divides the bottom 25% of the data from the upper 75% of data</w:t>
      </w:r>
    </w:p>
    <w:p w14:paraId="00000018" w14:textId="203400DD" w:rsidR="004C72A9" w:rsidRDefault="00E81B39" w:rsidP="00E81B39">
      <w:pPr>
        <w:pStyle w:val="ListParagraph"/>
        <w:numPr>
          <w:ilvl w:val="0"/>
          <w:numId w:val="3"/>
        </w:numPr>
        <w:ind w:left="270" w:hanging="180"/>
      </w:pPr>
      <w:r w:rsidRPr="00E81B39">
        <w:rPr>
          <w:position w:val="-12"/>
        </w:rPr>
        <w:object w:dxaOrig="300" w:dyaOrig="360" w14:anchorId="06BDB51F">
          <v:shape id="_x0000_i1037" type="#_x0000_t75" style="width:14.95pt;height:18.35pt" o:ole="">
            <v:imagedata r:id="rId32" o:title=""/>
          </v:shape>
          <o:OLEObject Type="Embed" ProgID="Equation.DSMT4" ShapeID="_x0000_i1037" DrawAspect="Content" ObjectID="_1692090621" r:id="rId33"/>
        </w:object>
      </w:r>
      <w:r w:rsidRPr="00E81B39">
        <w:rPr>
          <w:sz w:val="40"/>
          <w:szCs w:val="40"/>
          <w:vertAlign w:val="subscript"/>
        </w:rPr>
        <w:t xml:space="preserve"> </w:t>
      </w:r>
      <w:r>
        <w:t>(the second quartile, or median) divides the bottom 50% of the data from the upper 50% of data</w:t>
      </w:r>
    </w:p>
    <w:p w14:paraId="0000001C" w14:textId="70356579" w:rsidR="004C72A9" w:rsidRDefault="00E81B39" w:rsidP="00E81B39">
      <w:pPr>
        <w:pStyle w:val="ListParagraph"/>
        <w:numPr>
          <w:ilvl w:val="0"/>
          <w:numId w:val="3"/>
        </w:numPr>
        <w:ind w:left="270" w:hanging="180"/>
      </w:pPr>
      <w:r w:rsidRPr="00E81B39">
        <w:rPr>
          <w:position w:val="-12"/>
        </w:rPr>
        <w:object w:dxaOrig="300" w:dyaOrig="360" w14:anchorId="67ED5E92">
          <v:shape id="_x0000_i1038" type="#_x0000_t75" style="width:14.95pt;height:18.35pt" o:ole="">
            <v:imagedata r:id="rId34" o:title=""/>
          </v:shape>
          <o:OLEObject Type="Embed" ProgID="Equation.DSMT4" ShapeID="_x0000_i1038" DrawAspect="Content" ObjectID="_1692090622" r:id="rId35"/>
        </w:object>
      </w:r>
      <w:r w:rsidRPr="00E81B39">
        <w:rPr>
          <w:sz w:val="40"/>
          <w:szCs w:val="40"/>
          <w:vertAlign w:val="subscript"/>
        </w:rPr>
        <w:t xml:space="preserve"> </w:t>
      </w:r>
      <w:r>
        <w:t>(the third quartile) divides the bottom 75% of the data from the upper 25% of the data</w:t>
      </w:r>
    </w:p>
    <w:p w14:paraId="0000001E" w14:textId="2FEE2666" w:rsidR="004C72A9" w:rsidRDefault="00E81B39" w:rsidP="00E81B39">
      <w:pPr>
        <w:ind w:left="180" w:hanging="180"/>
      </w:pPr>
      <w:r>
        <w:rPr>
          <w:b/>
        </w:rPr>
        <w:t>Five-Number Summary</w:t>
      </w:r>
      <w:r>
        <w:t xml:space="preserve"> – A five-number summary is a quick way to present a summary of a data set. The five-number summary includes: the lowest value in the data set (the minimum), </w:t>
      </w:r>
      <w:r w:rsidRPr="00E81B39">
        <w:rPr>
          <w:position w:val="-12"/>
        </w:rPr>
        <w:object w:dxaOrig="279" w:dyaOrig="360" w14:anchorId="3410F304">
          <v:shape id="_x0000_i1039" type="#_x0000_t75" style="width:14.25pt;height:18.35pt" o:ole="">
            <v:imagedata r:id="rId36" o:title=""/>
          </v:shape>
          <o:OLEObject Type="Embed" ProgID="Equation.DSMT4" ShapeID="_x0000_i1039" DrawAspect="Content" ObjectID="_1692090623" r:id="rId37"/>
        </w:object>
      </w:r>
      <w:r>
        <w:t xml:space="preserve">, </w:t>
      </w:r>
      <w:r w:rsidRPr="00E81B39">
        <w:rPr>
          <w:position w:val="-12"/>
        </w:rPr>
        <w:object w:dxaOrig="300" w:dyaOrig="360" w14:anchorId="4C4D0F38">
          <v:shape id="_x0000_i1040" type="#_x0000_t75" style="width:14.95pt;height:18.35pt" o:ole="">
            <v:imagedata r:id="rId38" o:title=""/>
          </v:shape>
          <o:OLEObject Type="Embed" ProgID="Equation.DSMT4" ShapeID="_x0000_i1040" DrawAspect="Content" ObjectID="_1692090624" r:id="rId39"/>
        </w:object>
      </w:r>
      <w:r>
        <w:t xml:space="preserve">, </w:t>
      </w:r>
      <w:r w:rsidRPr="00E81B39">
        <w:rPr>
          <w:position w:val="-12"/>
        </w:rPr>
        <w:object w:dxaOrig="300" w:dyaOrig="360" w14:anchorId="3D1001F0">
          <v:shape id="_x0000_i1041" type="#_x0000_t75" style="width:14.95pt;height:18.35pt" o:ole="">
            <v:imagedata r:id="rId40" o:title=""/>
          </v:shape>
          <o:OLEObject Type="Embed" ProgID="Equation.DSMT4" ShapeID="_x0000_i1041" DrawAspect="Content" ObjectID="_1692090625" r:id="rId41"/>
        </w:object>
      </w:r>
      <w:r>
        <w:rPr>
          <w:sz w:val="40"/>
          <w:szCs w:val="40"/>
          <w:vertAlign w:val="subscript"/>
        </w:rPr>
        <w:t>,</w:t>
      </w:r>
      <w:r>
        <w:t xml:space="preserve"> and the highest value in the data set (the maximum). Five-number summaries are often shown in graphical form as a </w:t>
      </w:r>
      <w:sdt>
        <w:sdtPr>
          <w:tag w:val="goog_rdk_3"/>
          <w:id w:val="1069458360"/>
        </w:sdtPr>
        <w:sdtEndPr/>
        <w:sdtContent/>
      </w:sdt>
      <w:r>
        <w:t>box-and-whisker plot.</w:t>
      </w:r>
    </w:p>
    <w:p w14:paraId="08DB7428" w14:textId="6FAEC242" w:rsidR="00180A33" w:rsidRDefault="00180A33" w:rsidP="00180A33">
      <w:pPr>
        <w:ind w:left="180" w:hanging="180"/>
      </w:pPr>
      <w:r w:rsidRPr="00020096">
        <w:rPr>
          <w:noProof/>
          <w:highlight w:val="white"/>
        </w:rPr>
        <mc:AlternateContent>
          <mc:Choice Requires="wps">
            <w:drawing>
              <wp:anchor distT="45720" distB="45720" distL="114300" distR="114300" simplePos="0" relativeHeight="251659264" behindDoc="0" locked="0" layoutInCell="1" allowOverlap="1" wp14:anchorId="1C2460BB" wp14:editId="1E5F3FAF">
                <wp:simplePos x="0" y="0"/>
                <wp:positionH relativeFrom="margin">
                  <wp:align>right</wp:align>
                </wp:positionH>
                <wp:positionV relativeFrom="paragraph">
                  <wp:posOffset>1943496</wp:posOffset>
                </wp:positionV>
                <wp:extent cx="6374765" cy="1915065"/>
                <wp:effectExtent l="0" t="0" r="2603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915065"/>
                        </a:xfrm>
                        <a:prstGeom prst="rect">
                          <a:avLst/>
                        </a:prstGeom>
                        <a:solidFill>
                          <a:srgbClr val="FFFFFF"/>
                        </a:solidFill>
                        <a:ln w="9525">
                          <a:solidFill>
                            <a:schemeClr val="bg1">
                              <a:lumMod val="65000"/>
                            </a:schemeClr>
                          </a:solidFill>
                          <a:miter lim="800000"/>
                          <a:headEnd/>
                          <a:tailEnd/>
                        </a:ln>
                      </wps:spPr>
                      <wps:txbx>
                        <w:txbxContent>
                          <w:p w14:paraId="39B1F95E" w14:textId="77777777" w:rsidR="00180A33" w:rsidRDefault="00180A33" w:rsidP="00180A33">
                            <w:pPr>
                              <w:spacing w:after="0"/>
                              <w:rPr>
                                <w:i/>
                              </w:rPr>
                            </w:pPr>
                            <w:r w:rsidRPr="003E68D6">
                              <w:rPr>
                                <w:rFonts w:asciiTheme="majorHAnsi" w:hAnsiTheme="majorHAnsi"/>
                                <w:i/>
                              </w:rPr>
                              <w:t>Exploring Marine Primary Productivity with Descriptive Statistics and Graphing in Excel</w:t>
                            </w:r>
                          </w:p>
                          <w:p w14:paraId="7BB866EF" w14:textId="77777777" w:rsidR="00180A33" w:rsidRPr="00020096" w:rsidRDefault="00180A33" w:rsidP="00180A33">
                            <w:pPr>
                              <w:rPr>
                                <w:color w:val="0D0D0D" w:themeColor="text1" w:themeTint="F2"/>
                                <w:sz w:val="22"/>
                              </w:rPr>
                            </w:pPr>
                            <w:r w:rsidRPr="00020096">
                              <w:rPr>
                                <w:color w:val="0D0D0D" w:themeColor="text1" w:themeTint="F2"/>
                                <w:sz w:val="22"/>
                              </w:rPr>
                              <w:t>Marina McLeod, Jennifer Olson, Wendy Houston</w:t>
                            </w:r>
                          </w:p>
                          <w:p w14:paraId="6C51CC38" w14:textId="77777777" w:rsidR="00180A33" w:rsidRDefault="00180A33" w:rsidP="00180A33">
                            <w:pPr>
                              <w:rPr>
                                <w:color w:val="595959" w:themeColor="text1" w:themeTint="A6"/>
                                <w:sz w:val="22"/>
                              </w:rPr>
                            </w:pPr>
                            <w:r w:rsidRPr="00020096">
                              <w:rPr>
                                <w:color w:val="595959" w:themeColor="text1" w:themeTint="A6"/>
                                <w:sz w:val="22"/>
                              </w:rPr>
                              <w:t>This material is based upon work supported by the National Science Foundation under Grant No.1919613. Any opinions, findings, and conclusions or recommendations expressed in this material are those of the author(s) and do not necessarily reflect the views of the National Science Foundation.</w:t>
                            </w:r>
                          </w:p>
                          <w:p w14:paraId="191461AE" w14:textId="77777777" w:rsidR="00180A33" w:rsidRPr="00020096" w:rsidRDefault="00180A33" w:rsidP="00180A33">
                            <w:pPr>
                              <w:jc w:val="center"/>
                              <w:rPr>
                                <w:color w:val="595959" w:themeColor="text1" w:themeTint="A6"/>
                                <w:sz w:val="22"/>
                              </w:rPr>
                            </w:pPr>
                            <w:r>
                              <w:rPr>
                                <w:noProof/>
                                <w:color w:val="000000" w:themeColor="text1"/>
                                <w:sz w:val="22"/>
                              </w:rPr>
                              <w:drawing>
                                <wp:inline distT="0" distB="0" distL="0" distR="0" wp14:anchorId="54F94BB6" wp14:editId="7ADA74AF">
                                  <wp:extent cx="1241067" cy="666522"/>
                                  <wp:effectExtent l="0" t="0" r="0" b="635"/>
                                  <wp:docPr id="3" name="Picture 3" descr="QB@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bcc logo.png"/>
                                          <pic:cNvPicPr/>
                                        </pic:nvPicPr>
                                        <pic:blipFill>
                                          <a:blip r:embed="rId42">
                                            <a:extLst>
                                              <a:ext uri="{28A0092B-C50C-407E-A947-70E740481C1C}">
                                                <a14:useLocalDpi xmlns:a14="http://schemas.microsoft.com/office/drawing/2010/main" val="0"/>
                                              </a:ext>
                                            </a:extLst>
                                          </a:blip>
                                          <a:stretch>
                                            <a:fillRect/>
                                          </a:stretch>
                                        </pic:blipFill>
                                        <pic:spPr>
                                          <a:xfrm>
                                            <a:off x="0" y="0"/>
                                            <a:ext cx="1293671" cy="694773"/>
                                          </a:xfrm>
                                          <a:prstGeom prst="rect">
                                            <a:avLst/>
                                          </a:prstGeom>
                                        </pic:spPr>
                                      </pic:pic>
                                    </a:graphicData>
                                  </a:graphic>
                                </wp:inline>
                              </w:drawing>
                            </w:r>
                            <w:r>
                              <w:rPr>
                                <w:color w:val="595959" w:themeColor="text1" w:themeTint="A6"/>
                                <w:sz w:val="22"/>
                              </w:rPr>
                              <w:t xml:space="preserve">                </w:t>
                            </w:r>
                            <w:r>
                              <w:rPr>
                                <w:noProof/>
                                <w:color w:val="000000" w:themeColor="text1"/>
                                <w:sz w:val="22"/>
                              </w:rPr>
                              <w:drawing>
                                <wp:inline distT="0" distB="0" distL="0" distR="0" wp14:anchorId="29BB492C" wp14:editId="10F2F088">
                                  <wp:extent cx="659202" cy="659202"/>
                                  <wp:effectExtent l="0" t="0" r="7620" b="7620"/>
                                  <wp:docPr id="8" name="Picture 8" descr="National Science Foundation (N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sf logo.jpg"/>
                                          <pic:cNvPicPr/>
                                        </pic:nvPicPr>
                                        <pic:blipFill>
                                          <a:blip r:embed="rId43">
                                            <a:extLst>
                                              <a:ext uri="{28A0092B-C50C-407E-A947-70E740481C1C}">
                                                <a14:useLocalDpi xmlns:a14="http://schemas.microsoft.com/office/drawing/2010/main" val="0"/>
                                              </a:ext>
                                            </a:extLst>
                                          </a:blip>
                                          <a:stretch>
                                            <a:fillRect/>
                                          </a:stretch>
                                        </pic:blipFill>
                                        <pic:spPr>
                                          <a:xfrm>
                                            <a:off x="0" y="0"/>
                                            <a:ext cx="700212" cy="70021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460BB" id="_x0000_t202" coordsize="21600,21600" o:spt="202" path="m,l,21600r21600,l21600,xe">
                <v:stroke joinstyle="miter"/>
                <v:path gradientshapeok="t" o:connecttype="rect"/>
              </v:shapetype>
              <v:shape id="Text Box 2" o:spid="_x0000_s1026" type="#_x0000_t202" style="position:absolute;left:0;text-align:left;margin-left:450.75pt;margin-top:153.05pt;width:501.95pt;height:150.8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" strokecolor="#a5a5a5 [2092]">
                <v:textbox>
                  <w:txbxContent>
                    <w:p w14:paraId="39B1F95E" w14:textId="77777777" w:rsidR="00180A33" w:rsidRDefault="00180A33" w:rsidP="00180A33">
                      <w:pPr>
                        <w:spacing w:after="0"/>
                        <w:rPr>
                          <w:i/>
                        </w:rPr>
                      </w:pPr>
                      <w:r w:rsidRPr="003E68D6">
                        <w:rPr>
                          <w:rFonts w:asciiTheme="majorHAnsi" w:hAnsiTheme="majorHAnsi"/>
                          <w:i/>
                        </w:rPr>
                        <w:t>Exploring Marine Primary Productivity with Descriptive Statistics and Graphing in Excel</w:t>
                      </w:r>
                    </w:p>
                    <w:p w14:paraId="7BB866EF" w14:textId="77777777" w:rsidR="00180A33" w:rsidRPr="00020096" w:rsidRDefault="00180A33" w:rsidP="00180A33">
                      <w:pPr>
                        <w:rPr>
                          <w:color w:val="0D0D0D" w:themeColor="text1" w:themeTint="F2"/>
                          <w:sz w:val="22"/>
                        </w:rPr>
                      </w:pPr>
                      <w:r w:rsidRPr="00020096">
                        <w:rPr>
                          <w:color w:val="0D0D0D" w:themeColor="text1" w:themeTint="F2"/>
                          <w:sz w:val="22"/>
                        </w:rPr>
                        <w:t>Marina McLeod, Jennifer Olson, Wendy Houston</w:t>
                      </w:r>
                    </w:p>
                    <w:p w14:paraId="6C51CC38" w14:textId="77777777" w:rsidR="00180A33" w:rsidRDefault="00180A33" w:rsidP="00180A33">
                      <w:pPr>
                        <w:rPr>
                          <w:color w:val="595959" w:themeColor="text1" w:themeTint="A6"/>
                          <w:sz w:val="22"/>
                        </w:rPr>
                      </w:pPr>
                      <w:r w:rsidRPr="00020096">
                        <w:rPr>
                          <w:color w:val="595959" w:themeColor="text1" w:themeTint="A6"/>
                          <w:sz w:val="22"/>
                        </w:rPr>
                        <w:t>This material is based upon work supported by the National Science Foundation under Grant No.1919613. Any opinions, findings, and conclusions or recommendations expressed in this material are those of the author(s) and do not necessarily reflect the views of the National Science Foundation.</w:t>
                      </w:r>
                    </w:p>
                    <w:p w14:paraId="191461AE" w14:textId="77777777" w:rsidR="00180A33" w:rsidRPr="00020096" w:rsidRDefault="00180A33" w:rsidP="00180A33">
                      <w:pPr>
                        <w:jc w:val="center"/>
                        <w:rPr>
                          <w:color w:val="595959" w:themeColor="text1" w:themeTint="A6"/>
                          <w:sz w:val="22"/>
                        </w:rPr>
                      </w:pPr>
                      <w:r>
                        <w:rPr>
                          <w:noProof/>
                          <w:color w:val="000000" w:themeColor="text1"/>
                          <w:sz w:val="22"/>
                        </w:rPr>
                        <w:drawing>
                          <wp:inline distT="0" distB="0" distL="0" distR="0" wp14:anchorId="54F94BB6" wp14:editId="7ADA74AF">
                            <wp:extent cx="1241067" cy="666522"/>
                            <wp:effectExtent l="0" t="0" r="0" b="635"/>
                            <wp:docPr id="3" name="Picture 3" descr="QB@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bcc logo.png"/>
                                    <pic:cNvPicPr/>
                                  </pic:nvPicPr>
                                  <pic:blipFill>
                                    <a:blip r:embed="rId42">
                                      <a:extLst>
                                        <a:ext uri="{28A0092B-C50C-407E-A947-70E740481C1C}">
                                          <a14:useLocalDpi xmlns:a14="http://schemas.microsoft.com/office/drawing/2010/main" val="0"/>
                                        </a:ext>
                                      </a:extLst>
                                    </a:blip>
                                    <a:stretch>
                                      <a:fillRect/>
                                    </a:stretch>
                                  </pic:blipFill>
                                  <pic:spPr>
                                    <a:xfrm>
                                      <a:off x="0" y="0"/>
                                      <a:ext cx="1293671" cy="694773"/>
                                    </a:xfrm>
                                    <a:prstGeom prst="rect">
                                      <a:avLst/>
                                    </a:prstGeom>
                                  </pic:spPr>
                                </pic:pic>
                              </a:graphicData>
                            </a:graphic>
                          </wp:inline>
                        </w:drawing>
                      </w:r>
                      <w:r>
                        <w:rPr>
                          <w:color w:val="595959" w:themeColor="text1" w:themeTint="A6"/>
                          <w:sz w:val="22"/>
                        </w:rPr>
                        <w:t xml:space="preserve">                </w:t>
                      </w:r>
                      <w:r>
                        <w:rPr>
                          <w:noProof/>
                          <w:color w:val="000000" w:themeColor="text1"/>
                          <w:sz w:val="22"/>
                        </w:rPr>
                        <w:drawing>
                          <wp:inline distT="0" distB="0" distL="0" distR="0" wp14:anchorId="29BB492C" wp14:editId="10F2F088">
                            <wp:extent cx="659202" cy="659202"/>
                            <wp:effectExtent l="0" t="0" r="7620" b="7620"/>
                            <wp:docPr id="8" name="Picture 8" descr="National Science Foundation (N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sf logo.jpg"/>
                                    <pic:cNvPicPr/>
                                  </pic:nvPicPr>
                                  <pic:blipFill>
                                    <a:blip r:embed="rId43">
                                      <a:extLst>
                                        <a:ext uri="{28A0092B-C50C-407E-A947-70E740481C1C}">
                                          <a14:useLocalDpi xmlns:a14="http://schemas.microsoft.com/office/drawing/2010/main" val="0"/>
                                        </a:ext>
                                      </a:extLst>
                                    </a:blip>
                                    <a:stretch>
                                      <a:fillRect/>
                                    </a:stretch>
                                  </pic:blipFill>
                                  <pic:spPr>
                                    <a:xfrm>
                                      <a:off x="0" y="0"/>
                                      <a:ext cx="700212" cy="700212"/>
                                    </a:xfrm>
                                    <a:prstGeom prst="rect">
                                      <a:avLst/>
                                    </a:prstGeom>
                                  </pic:spPr>
                                </pic:pic>
                              </a:graphicData>
                            </a:graphic>
                          </wp:inline>
                        </w:drawing>
                      </w:r>
                    </w:p>
                  </w:txbxContent>
                </v:textbox>
                <w10:wrap type="square" anchorx="margin"/>
              </v:shape>
            </w:pict>
          </mc:Fallback>
        </mc:AlternateContent>
      </w:r>
      <w:r w:rsidR="00E81B39">
        <w:rPr>
          <w:b/>
        </w:rPr>
        <w:t>Iterate</w:t>
      </w:r>
      <w:r w:rsidR="00E81B39">
        <w:t xml:space="preserve"> – To iterate means to perform repeatedly. In the context of Excel, </w:t>
      </w:r>
      <w:r w:rsidR="00E81B39" w:rsidRPr="00E81B39">
        <w:rPr>
          <w:i/>
        </w:rPr>
        <w:t>iterating</w:t>
      </w:r>
      <w:r w:rsidR="00E81B39">
        <w:t xml:space="preserve"> means to use your mouse and/or keyboard shortcuts to repeat the calculations of a previously-entered formula across multiple rows and/or columns so that you don’t need to retype formulas multiple times.</w:t>
      </w:r>
      <w:bookmarkStart w:id="1" w:name="_GoBack"/>
      <w:bookmarkEnd w:id="1"/>
    </w:p>
    <w:sectPr w:rsidR="00180A33" w:rsidSect="00180A33">
      <w:footerReference w:type="default" r:id="rId44"/>
      <w:pgSz w:w="12240" w:h="15840"/>
      <w:pgMar w:top="1080" w:right="1080" w:bottom="1080" w:left="1080" w:header="720" w:footer="25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759B8" w14:textId="77777777" w:rsidR="0064264A" w:rsidRDefault="0064264A" w:rsidP="00180A33">
      <w:pPr>
        <w:spacing w:after="0" w:line="240" w:lineRule="auto"/>
      </w:pPr>
      <w:r>
        <w:separator/>
      </w:r>
    </w:p>
  </w:endnote>
  <w:endnote w:type="continuationSeparator" w:id="0">
    <w:p w14:paraId="152D5B0F" w14:textId="77777777" w:rsidR="0064264A" w:rsidRDefault="0064264A" w:rsidP="0018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F7B0D" w14:textId="32A42055" w:rsidR="00180A33" w:rsidRPr="00180A33" w:rsidRDefault="00180A33" w:rsidP="00180A33">
    <w:pPr>
      <w:pStyle w:val="Footer"/>
      <w:tabs>
        <w:tab w:val="clear" w:pos="9360"/>
        <w:tab w:val="right" w:pos="10080"/>
      </w:tabs>
      <w:rPr>
        <w:color w:val="0D0D0D" w:themeColor="text1" w:themeTint="F2"/>
        <w:sz w:val="22"/>
      </w:rPr>
    </w:pPr>
    <w:r w:rsidRPr="00180A33">
      <w:rPr>
        <w:color w:val="0D0D0D" w:themeColor="text1" w:themeTint="F2"/>
        <w:sz w:val="22"/>
      </w:rPr>
      <w:fldChar w:fldCharType="begin"/>
    </w:r>
    <w:r w:rsidRPr="00180A33">
      <w:rPr>
        <w:color w:val="0D0D0D" w:themeColor="text1" w:themeTint="F2"/>
        <w:sz w:val="22"/>
      </w:rPr>
      <w:instrText xml:space="preserve"> PAGE   \* MERGEFORMAT </w:instrText>
    </w:r>
    <w:r w:rsidRPr="00180A33">
      <w:rPr>
        <w:color w:val="0D0D0D" w:themeColor="text1" w:themeTint="F2"/>
        <w:sz w:val="22"/>
      </w:rPr>
      <w:fldChar w:fldCharType="separate"/>
    </w:r>
    <w:r w:rsidRPr="00180A33">
      <w:rPr>
        <w:noProof/>
        <w:color w:val="0D0D0D" w:themeColor="text1" w:themeTint="F2"/>
        <w:sz w:val="22"/>
      </w:rPr>
      <w:t>1</w:t>
    </w:r>
    <w:r w:rsidRPr="00180A33">
      <w:rPr>
        <w:noProof/>
        <w:color w:val="0D0D0D" w:themeColor="text1" w:themeTint="F2"/>
        <w:sz w:val="22"/>
      </w:rPr>
      <w:fldChar w:fldCharType="end"/>
    </w:r>
    <w:r>
      <w:rPr>
        <w:noProof/>
        <w:color w:val="0D0D0D" w:themeColor="text1" w:themeTint="F2"/>
        <w:sz w:val="22"/>
      </w:rPr>
      <w:tab/>
    </w:r>
    <w:r>
      <w:rPr>
        <w:noProof/>
        <w:color w:val="0D0D0D" w:themeColor="text1" w:themeTint="F2"/>
        <w:sz w:val="22"/>
      </w:rPr>
      <w:tab/>
    </w:r>
    <w:r>
      <w:rPr>
        <w:noProof/>
        <w:color w:val="000000" w:themeColor="text1"/>
        <w:sz w:val="22"/>
      </w:rPr>
      <w:drawing>
        <wp:inline distT="0" distB="0" distL="0" distR="0" wp14:anchorId="6E1302B0" wp14:editId="22043E77">
          <wp:extent cx="749808" cy="4023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bcc logo.png"/>
                  <pic:cNvPicPr/>
                </pic:nvPicPr>
                <pic:blipFill>
                  <a:blip r:embed="rId1">
                    <a:extLst>
                      <a:ext uri="{28A0092B-C50C-407E-A947-70E740481C1C}">
                        <a14:useLocalDpi xmlns:a14="http://schemas.microsoft.com/office/drawing/2010/main" val="0"/>
                      </a:ext>
                    </a:extLst>
                  </a:blip>
                  <a:stretch>
                    <a:fillRect/>
                  </a:stretch>
                </pic:blipFill>
                <pic:spPr>
                  <a:xfrm>
                    <a:off x="0" y="0"/>
                    <a:ext cx="749808" cy="402336"/>
                  </a:xfrm>
                  <a:prstGeom prst="rect">
                    <a:avLst/>
                  </a:prstGeom>
                </pic:spPr>
              </pic:pic>
            </a:graphicData>
          </a:graphic>
        </wp:inline>
      </w:drawing>
    </w:r>
    <w:r>
      <w:rPr>
        <w:noProof/>
        <w:color w:val="0D0D0D" w:themeColor="text1" w:themeTint="F2"/>
        <w:sz w:val="22"/>
      </w:rPr>
      <w:t xml:space="preserve">  </w:t>
    </w:r>
    <w:r>
      <w:rPr>
        <w:noProof/>
        <w:color w:val="000000" w:themeColor="text1"/>
        <w:sz w:val="22"/>
      </w:rPr>
      <w:drawing>
        <wp:inline distT="0" distB="0" distL="0" distR="0" wp14:anchorId="5D792D34" wp14:editId="12513199">
          <wp:extent cx="402336" cy="4023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f logo.jpg"/>
                  <pic:cNvPicPr/>
                </pic:nvPicPr>
                <pic:blipFill>
                  <a:blip r:embed="rId2">
                    <a:extLst>
                      <a:ext uri="{28A0092B-C50C-407E-A947-70E740481C1C}">
                        <a14:useLocalDpi xmlns:a14="http://schemas.microsoft.com/office/drawing/2010/main" val="0"/>
                      </a:ext>
                    </a:extLst>
                  </a:blip>
                  <a:stretch>
                    <a:fillRect/>
                  </a:stretch>
                </pic:blipFill>
                <pic:spPr>
                  <a:xfrm>
                    <a:off x="0" y="0"/>
                    <a:ext cx="402336" cy="402336"/>
                  </a:xfrm>
                  <a:prstGeom prst="rect">
                    <a:avLst/>
                  </a:prstGeom>
                </pic:spPr>
              </pic:pic>
            </a:graphicData>
          </a:graphic>
        </wp:inline>
      </w:drawing>
    </w:r>
  </w:p>
  <w:p w14:paraId="3331D6B1" w14:textId="77777777" w:rsidR="00180A33" w:rsidRDefault="00180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36A6D" w14:textId="77777777" w:rsidR="0064264A" w:rsidRDefault="0064264A" w:rsidP="00180A33">
      <w:pPr>
        <w:spacing w:after="0" w:line="240" w:lineRule="auto"/>
      </w:pPr>
      <w:r>
        <w:separator/>
      </w:r>
    </w:p>
  </w:footnote>
  <w:footnote w:type="continuationSeparator" w:id="0">
    <w:p w14:paraId="7FDD7764" w14:textId="77777777" w:rsidR="0064264A" w:rsidRDefault="0064264A" w:rsidP="00180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D392C"/>
    <w:multiLevelType w:val="hybridMultilevel"/>
    <w:tmpl w:val="0EF6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03D22"/>
    <w:multiLevelType w:val="hybridMultilevel"/>
    <w:tmpl w:val="F5D6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52EEA"/>
    <w:multiLevelType w:val="hybridMultilevel"/>
    <w:tmpl w:val="E16A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2A9"/>
    <w:rsid w:val="00180A33"/>
    <w:rsid w:val="00265A81"/>
    <w:rsid w:val="002B2AD9"/>
    <w:rsid w:val="004C72A9"/>
    <w:rsid w:val="005E2A99"/>
    <w:rsid w:val="0061156D"/>
    <w:rsid w:val="0064264A"/>
    <w:rsid w:val="009C6ED4"/>
    <w:rsid w:val="00E81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48B5E"/>
  <w15:docId w15:val="{65455912-C92C-4310-9225-778622E7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ED4"/>
    <w:pPr>
      <w:spacing w:line="269" w:lineRule="auto"/>
    </w:pPr>
    <w:rPr>
      <w:rFonts w:asciiTheme="minorHAnsi" w:eastAsia="Times New Roman" w:hAnsiTheme="minorHAnsi" w:cstheme="minorHAnsi"/>
      <w:sz w:val="24"/>
      <w:szCs w:val="24"/>
    </w:rPr>
  </w:style>
  <w:style w:type="paragraph" w:styleId="Heading1">
    <w:name w:val="heading 1"/>
    <w:basedOn w:val="Normal"/>
    <w:next w:val="Normal"/>
    <w:uiPriority w:val="9"/>
    <w:qFormat/>
    <w:rsid w:val="009C6ED4"/>
    <w:pPr>
      <w:keepNext/>
      <w:keepLines/>
      <w:spacing w:after="120"/>
      <w:outlineLvl w:val="0"/>
    </w:pPr>
    <w:rPr>
      <w:rFonts w:ascii="Arial" w:hAnsi="Arial" w:cs="Arial"/>
      <w:sz w:val="40"/>
      <w:szCs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B56BB5"/>
    <w:pPr>
      <w:spacing w:after="0" w:line="240" w:lineRule="auto"/>
    </w:pPr>
  </w:style>
  <w:style w:type="character" w:styleId="Emphasis">
    <w:name w:val="Emphasis"/>
    <w:basedOn w:val="DefaultParagraphFont"/>
    <w:uiPriority w:val="20"/>
    <w:qFormat/>
    <w:rsid w:val="00B56BB5"/>
    <w:rPr>
      <w:i/>
      <w:i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C6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ED4"/>
    <w:rPr>
      <w:rFonts w:ascii="Segoe UI" w:hAnsi="Segoe UI" w:cs="Segoe UI"/>
      <w:sz w:val="18"/>
      <w:szCs w:val="18"/>
    </w:rPr>
  </w:style>
  <w:style w:type="paragraph" w:styleId="ListParagraph">
    <w:name w:val="List Paragraph"/>
    <w:basedOn w:val="Normal"/>
    <w:uiPriority w:val="34"/>
    <w:qFormat/>
    <w:rsid w:val="00265A81"/>
    <w:pPr>
      <w:ind w:left="720"/>
      <w:contextualSpacing/>
    </w:pPr>
  </w:style>
  <w:style w:type="paragraph" w:customStyle="1" w:styleId="MTDisplayEquation">
    <w:name w:val="MTDisplayEquation"/>
    <w:basedOn w:val="Normal"/>
    <w:next w:val="Normal"/>
    <w:link w:val="MTDisplayEquationChar"/>
    <w:rsid w:val="0061156D"/>
    <w:pPr>
      <w:tabs>
        <w:tab w:val="center" w:pos="5120"/>
        <w:tab w:val="right" w:pos="10080"/>
      </w:tabs>
      <w:ind w:left="180"/>
    </w:pPr>
    <w:rPr>
      <w:sz w:val="40"/>
      <w:szCs w:val="40"/>
      <w:vertAlign w:val="subscript"/>
    </w:rPr>
  </w:style>
  <w:style w:type="character" w:customStyle="1" w:styleId="MTDisplayEquationChar">
    <w:name w:val="MTDisplayEquation Char"/>
    <w:basedOn w:val="DefaultParagraphFont"/>
    <w:link w:val="MTDisplayEquation"/>
    <w:rsid w:val="0061156D"/>
    <w:rPr>
      <w:rFonts w:asciiTheme="minorHAnsi" w:eastAsia="Times New Roman" w:hAnsiTheme="minorHAnsi" w:cstheme="minorHAnsi"/>
      <w:sz w:val="40"/>
      <w:szCs w:val="40"/>
      <w:vertAlign w:val="subscript"/>
    </w:rPr>
  </w:style>
  <w:style w:type="paragraph" w:styleId="Header">
    <w:name w:val="header"/>
    <w:basedOn w:val="Normal"/>
    <w:link w:val="HeaderChar"/>
    <w:uiPriority w:val="99"/>
    <w:unhideWhenUsed/>
    <w:rsid w:val="00180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A33"/>
    <w:rPr>
      <w:rFonts w:asciiTheme="minorHAnsi" w:eastAsia="Times New Roman" w:hAnsiTheme="minorHAnsi" w:cstheme="minorHAnsi"/>
      <w:sz w:val="24"/>
      <w:szCs w:val="24"/>
    </w:rPr>
  </w:style>
  <w:style w:type="paragraph" w:styleId="Footer">
    <w:name w:val="footer"/>
    <w:basedOn w:val="Normal"/>
    <w:link w:val="FooterChar"/>
    <w:uiPriority w:val="99"/>
    <w:unhideWhenUsed/>
    <w:rsid w:val="00180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A33"/>
    <w:rPr>
      <w:rFonts w:asciiTheme="minorHAnsi" w:eastAsia="Times New Roman"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jpg"/><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s>
</file>

<file path=word/_rels/footer1.xml.rels><?xml version="1.0" encoding="UTF-8" standalone="yes"?>
<Relationships xmlns="http://schemas.openxmlformats.org/package/2006/relationships"><Relationship Id="rId2" Type="http://schemas.openxmlformats.org/officeDocument/2006/relationships/image" Target="media/image19.jpg"/><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y6wIorlBsMCPJIOYDpmE5J8MFA==">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Houston</dc:creator>
  <cp:lastModifiedBy>Marina McLeod</cp:lastModifiedBy>
  <cp:revision>5</cp:revision>
  <dcterms:created xsi:type="dcterms:W3CDTF">2021-06-14T15:16:00Z</dcterms:created>
  <dcterms:modified xsi:type="dcterms:W3CDTF">2021-09-02T19:23:00Z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