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50AB0" w14:textId="77777777" w:rsidR="00B23A8D" w:rsidRDefault="00B23A8D">
      <w:pPr>
        <w:rPr>
          <w:rFonts w:ascii="Calibri" w:eastAsia="Calibri" w:hAnsi="Calibri" w:cs="Calibri"/>
          <w:b/>
          <w:color w:val="2B2B2B"/>
          <w:sz w:val="26"/>
          <w:szCs w:val="26"/>
        </w:rPr>
      </w:pPr>
      <w:r w:rsidRPr="00B23A8D">
        <w:rPr>
          <w:rFonts w:ascii="Calibri" w:eastAsia="Calibri" w:hAnsi="Calibri" w:cs="Calibri"/>
          <w:b/>
          <w:color w:val="2B2B2B"/>
          <w:sz w:val="26"/>
          <w:szCs w:val="26"/>
        </w:rPr>
        <w:t>Using the IEDB to Predict Proteasomal Cleavage Events and T-cell Epitopes</w:t>
      </w:r>
    </w:p>
    <w:p w14:paraId="1CBEB76D" w14:textId="77777777" w:rsidR="00B23A8D" w:rsidRDefault="00B23A8D">
      <w:pPr>
        <w:rPr>
          <w:rFonts w:ascii="Calibri" w:eastAsia="Calibri" w:hAnsi="Calibri" w:cs="Calibri"/>
          <w:b/>
          <w:sz w:val="26"/>
          <w:szCs w:val="26"/>
        </w:rPr>
      </w:pPr>
    </w:p>
    <w:p w14:paraId="4C35384B" w14:textId="75677349" w:rsidR="00936FBF" w:rsidRPr="002C5E3F" w:rsidRDefault="00000000">
      <w:pPr>
        <w:rPr>
          <w:rFonts w:ascii="Calibri" w:eastAsia="Calibri" w:hAnsi="Calibri" w:cs="Calibri"/>
          <w:b/>
          <w:sz w:val="26"/>
          <w:szCs w:val="26"/>
        </w:rPr>
      </w:pPr>
      <w:r w:rsidRPr="002C5E3F">
        <w:rPr>
          <w:rFonts w:ascii="Calibri" w:eastAsia="Calibri" w:hAnsi="Calibri" w:cs="Calibri"/>
          <w:b/>
          <w:sz w:val="26"/>
          <w:szCs w:val="26"/>
        </w:rPr>
        <w:t xml:space="preserve">Pre Lab </w:t>
      </w:r>
    </w:p>
    <w:p w14:paraId="30BD61AD" w14:textId="77777777" w:rsidR="00936FBF" w:rsidRDefault="00000000">
      <w:pPr>
        <w:rPr>
          <w:rFonts w:ascii="Calibri" w:eastAsia="Calibri" w:hAnsi="Calibri" w:cs="Calibri"/>
          <w:color w:val="A64D79"/>
        </w:rPr>
      </w:pPr>
      <w:r>
        <w:rPr>
          <w:rFonts w:ascii="Calibri" w:eastAsia="Calibri" w:hAnsi="Calibri" w:cs="Calibri"/>
          <w:color w:val="A64D79"/>
        </w:rPr>
        <w:t>Define the two types of immune responses against pathogens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FBF" w14:paraId="29C1F8B8" w14:textId="77777777">
        <w:tc>
          <w:tcPr>
            <w:tcW w:w="9360" w:type="dxa"/>
            <w:shd w:val="clear" w:color="auto" w:fill="auto"/>
            <w:tcMar>
              <w:top w:w="100" w:type="dxa"/>
              <w:left w:w="100" w:type="dxa"/>
              <w:bottom w:w="100" w:type="dxa"/>
              <w:right w:w="100" w:type="dxa"/>
            </w:tcMar>
          </w:tcPr>
          <w:p w14:paraId="6C58E7D0" w14:textId="77777777" w:rsidR="00936FBF" w:rsidRDefault="00936FBF">
            <w:pPr>
              <w:widowControl w:val="0"/>
              <w:pBdr>
                <w:top w:val="nil"/>
                <w:left w:val="nil"/>
                <w:bottom w:val="nil"/>
                <w:right w:val="nil"/>
                <w:between w:val="nil"/>
              </w:pBdr>
              <w:spacing w:line="240" w:lineRule="auto"/>
              <w:rPr>
                <w:rFonts w:ascii="Calibri" w:eastAsia="Calibri" w:hAnsi="Calibri" w:cs="Calibri"/>
                <w:color w:val="A64D79"/>
              </w:rPr>
            </w:pPr>
          </w:p>
        </w:tc>
      </w:tr>
    </w:tbl>
    <w:p w14:paraId="116F82E3" w14:textId="77777777" w:rsidR="00936FBF" w:rsidRDefault="00936FBF">
      <w:pPr>
        <w:rPr>
          <w:rFonts w:ascii="Calibri" w:eastAsia="Calibri" w:hAnsi="Calibri" w:cs="Calibri"/>
          <w:color w:val="A64D79"/>
        </w:rPr>
      </w:pPr>
    </w:p>
    <w:p w14:paraId="7DFD0259" w14:textId="77777777" w:rsidR="00936FBF" w:rsidRDefault="00000000">
      <w:pPr>
        <w:rPr>
          <w:rFonts w:ascii="Calibri" w:eastAsia="Calibri" w:hAnsi="Calibri" w:cs="Calibri"/>
          <w:color w:val="A64D79"/>
        </w:rPr>
      </w:pPr>
      <w:r>
        <w:rPr>
          <w:rFonts w:ascii="Calibri" w:eastAsia="Calibri" w:hAnsi="Calibri" w:cs="Calibri"/>
          <w:color w:val="A64D79"/>
        </w:rPr>
        <w:t xml:space="preserve">Distinguish between the functions of helper T-cells and cytotoxic T-cells?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FBF" w14:paraId="0E19063B" w14:textId="77777777">
        <w:tc>
          <w:tcPr>
            <w:tcW w:w="9360" w:type="dxa"/>
            <w:shd w:val="clear" w:color="auto" w:fill="auto"/>
            <w:tcMar>
              <w:top w:w="100" w:type="dxa"/>
              <w:left w:w="100" w:type="dxa"/>
              <w:bottom w:w="100" w:type="dxa"/>
              <w:right w:w="100" w:type="dxa"/>
            </w:tcMar>
          </w:tcPr>
          <w:p w14:paraId="6E4FFFE6" w14:textId="77777777" w:rsidR="00936FBF" w:rsidRDefault="00936FBF">
            <w:pPr>
              <w:widowControl w:val="0"/>
              <w:pBdr>
                <w:top w:val="nil"/>
                <w:left w:val="nil"/>
                <w:bottom w:val="nil"/>
                <w:right w:val="nil"/>
                <w:between w:val="nil"/>
              </w:pBdr>
              <w:spacing w:line="240" w:lineRule="auto"/>
              <w:rPr>
                <w:rFonts w:ascii="Calibri" w:eastAsia="Calibri" w:hAnsi="Calibri" w:cs="Calibri"/>
                <w:color w:val="A64D79"/>
              </w:rPr>
            </w:pPr>
          </w:p>
        </w:tc>
      </w:tr>
    </w:tbl>
    <w:p w14:paraId="7110B9A8" w14:textId="77777777" w:rsidR="00936FBF" w:rsidRDefault="00936FBF">
      <w:pPr>
        <w:rPr>
          <w:rFonts w:ascii="Calibri" w:eastAsia="Calibri" w:hAnsi="Calibri" w:cs="Calibri"/>
        </w:rPr>
      </w:pPr>
    </w:p>
    <w:p w14:paraId="29AF5306" w14:textId="77777777" w:rsidR="00936FBF" w:rsidRPr="002C5E3F" w:rsidRDefault="00000000">
      <w:pPr>
        <w:rPr>
          <w:rFonts w:ascii="Calibri" w:eastAsia="Calibri" w:hAnsi="Calibri" w:cs="Calibri"/>
          <w:sz w:val="26"/>
          <w:szCs w:val="26"/>
        </w:rPr>
      </w:pPr>
      <w:r w:rsidRPr="002C5E3F">
        <w:rPr>
          <w:rFonts w:ascii="Calibri" w:eastAsia="Calibri" w:hAnsi="Calibri" w:cs="Calibri"/>
          <w:b/>
          <w:sz w:val="26"/>
          <w:szCs w:val="26"/>
        </w:rPr>
        <w:t xml:space="preserve">Introduction: </w:t>
      </w:r>
      <w:r w:rsidRPr="002C5E3F">
        <w:rPr>
          <w:rFonts w:ascii="Calibri" w:eastAsia="Calibri" w:hAnsi="Calibri" w:cs="Calibri"/>
          <w:sz w:val="26"/>
          <w:szCs w:val="26"/>
        </w:rPr>
        <w:t xml:space="preserve">  </w:t>
      </w:r>
    </w:p>
    <w:p w14:paraId="13F4E1D8" w14:textId="04DBABA2" w:rsidR="00646135" w:rsidRDefault="00646135" w:rsidP="00646135">
      <w:pPr>
        <w:pStyle w:val="NormalWeb"/>
        <w:spacing w:before="0" w:beforeAutospacing="0" w:after="0" w:afterAutospacing="0"/>
        <w:rPr>
          <w:rFonts w:ascii="Calibri" w:hAnsi="Calibri" w:cs="Calibri"/>
          <w:color w:val="0E101A"/>
          <w:sz w:val="22"/>
          <w:szCs w:val="22"/>
        </w:rPr>
      </w:pPr>
      <w:r w:rsidRPr="00646135">
        <w:rPr>
          <w:rFonts w:ascii="Calibri" w:hAnsi="Calibri" w:cs="Calibri"/>
          <w:color w:val="0E101A"/>
          <w:sz w:val="22"/>
          <w:szCs w:val="22"/>
        </w:rPr>
        <w:t>Two major immune responses defend our body against pathogens. First is the </w:t>
      </w:r>
      <w:r w:rsidRPr="00646135">
        <w:rPr>
          <w:rStyle w:val="Strong"/>
          <w:rFonts w:ascii="Calibri" w:hAnsi="Calibri" w:cs="Calibri"/>
          <w:color w:val="0E101A"/>
          <w:sz w:val="22"/>
          <w:szCs w:val="22"/>
        </w:rPr>
        <w:t>Innate immune response</w:t>
      </w:r>
      <w:r w:rsidRPr="00646135">
        <w:rPr>
          <w:rFonts w:ascii="Calibri" w:hAnsi="Calibri" w:cs="Calibri"/>
          <w:color w:val="0E101A"/>
          <w:sz w:val="22"/>
          <w:szCs w:val="22"/>
        </w:rPr>
        <w:t> that is quick and non-specific. Microbes that enter our body are engulfed and destroyed by non-specific phagocytic cells. Microbes that escape the innate defense system face the second immune response mechanism named </w:t>
      </w:r>
      <w:r w:rsidRPr="00646135">
        <w:rPr>
          <w:rStyle w:val="Strong"/>
          <w:rFonts w:ascii="Calibri" w:hAnsi="Calibri" w:cs="Calibri"/>
          <w:color w:val="0E101A"/>
          <w:sz w:val="22"/>
          <w:szCs w:val="22"/>
        </w:rPr>
        <w:t>adaptive immune response. </w:t>
      </w:r>
      <w:r w:rsidRPr="00646135">
        <w:rPr>
          <w:rFonts w:ascii="Calibri" w:hAnsi="Calibri" w:cs="Calibri"/>
          <w:color w:val="0E101A"/>
          <w:sz w:val="22"/>
          <w:szCs w:val="22"/>
        </w:rPr>
        <w:t>The adaptive response is a specific response against the invading microbe and involves B-cells and T-cells. With the help of a group of T-cells (</w:t>
      </w:r>
      <w:r w:rsidRPr="00646135">
        <w:rPr>
          <w:rStyle w:val="Strong"/>
          <w:rFonts w:ascii="Calibri" w:hAnsi="Calibri" w:cs="Calibri"/>
          <w:color w:val="0E101A"/>
          <w:sz w:val="22"/>
          <w:szCs w:val="22"/>
        </w:rPr>
        <w:t>T-helper cells</w:t>
      </w:r>
      <w:r w:rsidRPr="00646135">
        <w:rPr>
          <w:rFonts w:ascii="Calibri" w:hAnsi="Calibri" w:cs="Calibri"/>
          <w:color w:val="0E101A"/>
          <w:sz w:val="22"/>
          <w:szCs w:val="22"/>
        </w:rPr>
        <w:t>), B-cells create antibody molecules that bind to specific antigens and mark them for destruction. </w:t>
      </w:r>
    </w:p>
    <w:p w14:paraId="7A5423F7" w14:textId="77777777" w:rsidR="00646135" w:rsidRPr="00646135" w:rsidRDefault="00646135" w:rsidP="00646135">
      <w:pPr>
        <w:pStyle w:val="NormalWeb"/>
        <w:spacing w:before="0" w:beforeAutospacing="0" w:after="0" w:afterAutospacing="0"/>
        <w:rPr>
          <w:rFonts w:ascii="Calibri" w:hAnsi="Calibri" w:cs="Calibri"/>
          <w:color w:val="0E101A"/>
          <w:sz w:val="22"/>
          <w:szCs w:val="22"/>
        </w:rPr>
      </w:pPr>
    </w:p>
    <w:p w14:paraId="3488E87F" w14:textId="77777777" w:rsidR="00646135" w:rsidRPr="00646135" w:rsidRDefault="00646135" w:rsidP="00646135">
      <w:pPr>
        <w:pStyle w:val="NormalWeb"/>
        <w:spacing w:before="0" w:beforeAutospacing="0" w:after="0" w:afterAutospacing="0"/>
        <w:rPr>
          <w:rFonts w:ascii="Calibri" w:hAnsi="Calibri" w:cs="Calibri"/>
          <w:color w:val="0E101A"/>
          <w:sz w:val="22"/>
          <w:szCs w:val="22"/>
        </w:rPr>
      </w:pPr>
      <w:r w:rsidRPr="00646135">
        <w:rPr>
          <w:rFonts w:ascii="Calibri" w:hAnsi="Calibri" w:cs="Calibri"/>
          <w:color w:val="0E101A"/>
          <w:sz w:val="22"/>
          <w:szCs w:val="22"/>
        </w:rPr>
        <w:t>Microbes that escape the B-cell mediated humoral immunity by entering the cells trigger a cellular response involving another T-cell group known as </w:t>
      </w:r>
      <w:r w:rsidRPr="00646135">
        <w:rPr>
          <w:rStyle w:val="Strong"/>
          <w:rFonts w:ascii="Calibri" w:hAnsi="Calibri" w:cs="Calibri"/>
          <w:color w:val="0E101A"/>
          <w:sz w:val="22"/>
          <w:szCs w:val="22"/>
        </w:rPr>
        <w:t>cytotoxic T-cells</w:t>
      </w:r>
      <w:r w:rsidRPr="00646135">
        <w:rPr>
          <w:rFonts w:ascii="Calibri" w:hAnsi="Calibri" w:cs="Calibri"/>
          <w:color w:val="0E101A"/>
          <w:sz w:val="22"/>
          <w:szCs w:val="22"/>
        </w:rPr>
        <w:t> (or CD8+ T cells). </w:t>
      </w:r>
    </w:p>
    <w:p w14:paraId="034C1F7D" w14:textId="77777777" w:rsidR="00646135" w:rsidRPr="00646135" w:rsidRDefault="00646135" w:rsidP="00646135">
      <w:pPr>
        <w:pStyle w:val="NormalWeb"/>
        <w:spacing w:before="0" w:beforeAutospacing="0" w:after="0" w:afterAutospacing="0"/>
        <w:rPr>
          <w:rFonts w:ascii="Calibri" w:hAnsi="Calibri" w:cs="Calibri"/>
          <w:color w:val="0E101A"/>
          <w:sz w:val="22"/>
          <w:szCs w:val="22"/>
        </w:rPr>
      </w:pPr>
      <w:r w:rsidRPr="00646135">
        <w:rPr>
          <w:rFonts w:ascii="Calibri" w:hAnsi="Calibri" w:cs="Calibri"/>
          <w:color w:val="0E101A"/>
          <w:sz w:val="22"/>
          <w:szCs w:val="22"/>
        </w:rPr>
        <w:t>Cytotoxic (CD8+) T-cells recognize and bind to the major histocompatibility complex class I (</w:t>
      </w:r>
      <w:r w:rsidRPr="00646135">
        <w:rPr>
          <w:rStyle w:val="Strong"/>
          <w:rFonts w:ascii="Calibri" w:hAnsi="Calibri" w:cs="Calibri"/>
          <w:color w:val="0E101A"/>
          <w:sz w:val="22"/>
          <w:szCs w:val="22"/>
        </w:rPr>
        <w:t>MHC I) associated peptides</w:t>
      </w:r>
      <w:r w:rsidRPr="00646135">
        <w:rPr>
          <w:rFonts w:ascii="Calibri" w:hAnsi="Calibri" w:cs="Calibri"/>
          <w:color w:val="0E101A"/>
          <w:sz w:val="22"/>
          <w:szCs w:val="22"/>
        </w:rPr>
        <w:t> on the surface of the infected cells. This interaction induces the release of proteins from T-cells that destroy the target cell. </w:t>
      </w:r>
    </w:p>
    <w:p w14:paraId="7CFEDDC6" w14:textId="17591861" w:rsidR="00936FBF" w:rsidRPr="00646135" w:rsidRDefault="00646135">
      <w:pPr>
        <w:widowControl w:val="0"/>
        <w:spacing w:before="172" w:line="263" w:lineRule="auto"/>
        <w:ind w:left="1" w:right="163"/>
        <w:rPr>
          <w:rFonts w:ascii="Calibri" w:eastAsia="Calibri" w:hAnsi="Calibri" w:cs="Calibri"/>
          <w:b/>
        </w:rPr>
      </w:pPr>
      <w:r w:rsidRPr="00646135">
        <w:rPr>
          <w:rStyle w:val="Strong"/>
          <w:rFonts w:ascii="Calibri" w:hAnsi="Calibri" w:cs="Calibri"/>
          <w:color w:val="0E101A"/>
        </w:rPr>
        <w:t>MHC class I molecules </w:t>
      </w:r>
      <w:r w:rsidRPr="00646135">
        <w:rPr>
          <w:rFonts w:ascii="Calibri" w:hAnsi="Calibri" w:cs="Calibri"/>
        </w:rPr>
        <w:t>are present on the cell surface of all nucleated cells. The MHC is a structure found on antigen-presenting cells that allow T-cells to recognize if the cell is infected with a pathogen. They can recognize infection if the MHC presents a piece of a foreign </w:t>
      </w:r>
      <w:r w:rsidRPr="00646135">
        <w:rPr>
          <w:rStyle w:val="Strong"/>
          <w:rFonts w:ascii="Calibri" w:hAnsi="Calibri" w:cs="Calibri"/>
          <w:color w:val="0E101A"/>
        </w:rPr>
        <w:t>peptide, </w:t>
      </w:r>
      <w:r w:rsidRPr="00646135">
        <w:rPr>
          <w:rFonts w:ascii="Calibri" w:hAnsi="Calibri" w:cs="Calibri"/>
        </w:rPr>
        <w:t>as seen in Figure 1 part 5. These peptides are generated from the fragmentation of the ingested microbe/ viral proteins (or diseased cellular proteins) in the infected cells. </w:t>
      </w:r>
    </w:p>
    <w:tbl>
      <w:tblPr>
        <w:tblStyle w:val="a1"/>
        <w:tblW w:w="450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tblGrid>
      <w:tr w:rsidR="00936FBF" w14:paraId="7D7C00D2" w14:textId="77777777">
        <w:trPr>
          <w:trHeight w:val="7335"/>
        </w:trPr>
        <w:tc>
          <w:tcPr>
            <w:tcW w:w="4500" w:type="dxa"/>
            <w:tcBorders>
              <w:right w:val="single" w:sz="8" w:space="0" w:color="FFFFFF"/>
            </w:tcBorders>
            <w:shd w:val="clear" w:color="auto" w:fill="auto"/>
            <w:tcMar>
              <w:top w:w="100" w:type="dxa"/>
              <w:left w:w="100" w:type="dxa"/>
              <w:bottom w:w="100" w:type="dxa"/>
              <w:right w:w="100" w:type="dxa"/>
            </w:tcMar>
          </w:tcPr>
          <w:p w14:paraId="534107F3" w14:textId="77777777" w:rsidR="00646135" w:rsidRPr="00646135" w:rsidRDefault="00646135" w:rsidP="00646135">
            <w:pPr>
              <w:pStyle w:val="NormalWeb"/>
              <w:spacing w:before="0" w:beforeAutospacing="0" w:after="0" w:afterAutospacing="0"/>
              <w:rPr>
                <w:rFonts w:ascii="Calibri" w:hAnsi="Calibri" w:cs="Calibri"/>
                <w:color w:val="0E101A"/>
                <w:sz w:val="21"/>
                <w:szCs w:val="21"/>
              </w:rPr>
            </w:pPr>
            <w:r w:rsidRPr="00646135">
              <w:rPr>
                <w:rStyle w:val="Strong"/>
                <w:rFonts w:ascii="Calibri" w:hAnsi="Calibri" w:cs="Calibri"/>
                <w:color w:val="0E101A"/>
                <w:sz w:val="21"/>
                <w:szCs w:val="21"/>
              </w:rPr>
              <w:lastRenderedPageBreak/>
              <w:t>Figure 1</w:t>
            </w:r>
            <w:r w:rsidRPr="00646135">
              <w:rPr>
                <w:rFonts w:ascii="Calibri" w:hAnsi="Calibri" w:cs="Calibri"/>
                <w:color w:val="0E101A"/>
                <w:sz w:val="21"/>
                <w:szCs w:val="21"/>
              </w:rPr>
              <w:t>- Antigen processing and display in infected Antigen Processing Cell (APC). </w:t>
            </w:r>
            <w:r w:rsidRPr="00646135">
              <w:rPr>
                <w:rStyle w:val="Strong"/>
                <w:rFonts w:ascii="Calibri" w:hAnsi="Calibri" w:cs="Calibri"/>
                <w:color w:val="0E101A"/>
                <w:sz w:val="21"/>
                <w:szCs w:val="21"/>
              </w:rPr>
              <w:t>1) </w:t>
            </w:r>
            <w:r w:rsidRPr="00646135">
              <w:rPr>
                <w:rFonts w:ascii="Calibri" w:hAnsi="Calibri" w:cs="Calibri"/>
                <w:color w:val="0E101A"/>
                <w:sz w:val="21"/>
                <w:szCs w:val="21"/>
              </w:rPr>
              <w:t>Microbial/ viral proteins in the cytosol of the infected cell are first marked by ubiquitination which serves as a signal for destruction by the proteasome. </w:t>
            </w:r>
            <w:r w:rsidRPr="00646135">
              <w:rPr>
                <w:rStyle w:val="Strong"/>
                <w:rFonts w:ascii="Calibri" w:hAnsi="Calibri" w:cs="Calibri"/>
                <w:color w:val="0E101A"/>
                <w:sz w:val="21"/>
                <w:szCs w:val="21"/>
              </w:rPr>
              <w:t>2)</w:t>
            </w:r>
            <w:r w:rsidRPr="00646135">
              <w:rPr>
                <w:rFonts w:ascii="Calibri" w:hAnsi="Calibri" w:cs="Calibri"/>
                <w:color w:val="0E101A"/>
                <w:sz w:val="21"/>
                <w:szCs w:val="21"/>
              </w:rPr>
              <w:t> </w:t>
            </w:r>
            <w:r w:rsidRPr="00646135">
              <w:rPr>
                <w:rStyle w:val="Strong"/>
                <w:rFonts w:ascii="Calibri" w:hAnsi="Calibri" w:cs="Calibri"/>
                <w:color w:val="0E101A"/>
                <w:sz w:val="21"/>
                <w:szCs w:val="21"/>
              </w:rPr>
              <w:t>Proteasome </w:t>
            </w:r>
            <w:r w:rsidRPr="00646135">
              <w:rPr>
                <w:rFonts w:ascii="Calibri" w:hAnsi="Calibri" w:cs="Calibri"/>
                <w:color w:val="0E101A"/>
                <w:sz w:val="21"/>
                <w:szCs w:val="21"/>
              </w:rPr>
              <w:t>is a complex with proteolytic activity that breaks down the marked proteins into small peptides. The cleaving is not random, and it follows a pattern. When a cell is under an infection, the proteasome can be changed to a form called immunoproteasome, changing the cleavage design </w:t>
            </w:r>
          </w:p>
          <w:p w14:paraId="00DAE034" w14:textId="77777777" w:rsidR="00646135" w:rsidRPr="00646135" w:rsidRDefault="00646135" w:rsidP="00646135">
            <w:pPr>
              <w:pStyle w:val="NormalWeb"/>
              <w:spacing w:before="0" w:beforeAutospacing="0" w:after="0" w:afterAutospacing="0"/>
              <w:rPr>
                <w:rFonts w:ascii="Calibri" w:hAnsi="Calibri" w:cs="Calibri"/>
                <w:color w:val="0E101A"/>
                <w:sz w:val="21"/>
                <w:szCs w:val="21"/>
              </w:rPr>
            </w:pPr>
            <w:r w:rsidRPr="00646135">
              <w:rPr>
                <w:rFonts w:ascii="Calibri" w:hAnsi="Calibri" w:cs="Calibri"/>
                <w:color w:val="0E101A"/>
                <w:sz w:val="21"/>
                <w:szCs w:val="21"/>
              </w:rPr>
              <w:t>to make the presentation of that protein easier to the T cells. </w:t>
            </w:r>
            <w:r w:rsidRPr="00646135">
              <w:rPr>
                <w:rStyle w:val="Strong"/>
                <w:rFonts w:ascii="Calibri" w:hAnsi="Calibri" w:cs="Calibri"/>
                <w:color w:val="0E101A"/>
                <w:sz w:val="21"/>
                <w:szCs w:val="21"/>
              </w:rPr>
              <w:t>3)</w:t>
            </w:r>
            <w:r w:rsidRPr="00646135">
              <w:rPr>
                <w:rFonts w:ascii="Calibri" w:hAnsi="Calibri" w:cs="Calibri"/>
                <w:color w:val="0E101A"/>
                <w:sz w:val="21"/>
                <w:szCs w:val="21"/>
              </w:rPr>
              <w:t> The peptides are then selectively translocated into the endoplasmic reticulum (ER)</w:t>
            </w:r>
            <w:r w:rsidRPr="00646135">
              <w:rPr>
                <w:rStyle w:val="Strong"/>
                <w:rFonts w:ascii="Calibri" w:hAnsi="Calibri" w:cs="Calibri"/>
                <w:color w:val="0E101A"/>
                <w:sz w:val="21"/>
                <w:szCs w:val="21"/>
              </w:rPr>
              <w:t> </w:t>
            </w:r>
            <w:r w:rsidRPr="00646135">
              <w:rPr>
                <w:rFonts w:ascii="Calibri" w:hAnsi="Calibri" w:cs="Calibri"/>
                <w:color w:val="0E101A"/>
                <w:sz w:val="21"/>
                <w:szCs w:val="21"/>
              </w:rPr>
              <w:t>by the </w:t>
            </w:r>
            <w:r w:rsidRPr="00646135">
              <w:rPr>
                <w:rStyle w:val="Strong"/>
                <w:rFonts w:ascii="Calibri" w:hAnsi="Calibri" w:cs="Calibri"/>
                <w:color w:val="0E101A"/>
                <w:sz w:val="21"/>
                <w:szCs w:val="21"/>
              </w:rPr>
              <w:t>transporter associated with antigen processing (TAP)</w:t>
            </w:r>
            <w:r w:rsidRPr="00646135">
              <w:rPr>
                <w:rFonts w:ascii="Calibri" w:hAnsi="Calibri" w:cs="Calibri"/>
                <w:color w:val="0E101A"/>
                <w:sz w:val="21"/>
                <w:szCs w:val="21"/>
              </w:rPr>
              <w:t>. TAP is a complex protein belonging to the endoplasmic reticulum, </w:t>
            </w:r>
          </w:p>
          <w:p w14:paraId="67D7E615" w14:textId="77777777" w:rsidR="00646135" w:rsidRPr="00646135" w:rsidRDefault="00646135" w:rsidP="00646135">
            <w:pPr>
              <w:pStyle w:val="NormalWeb"/>
              <w:spacing w:before="0" w:beforeAutospacing="0" w:after="0" w:afterAutospacing="0"/>
              <w:rPr>
                <w:rFonts w:ascii="Calibri" w:hAnsi="Calibri" w:cs="Calibri"/>
                <w:color w:val="0E101A"/>
                <w:sz w:val="21"/>
                <w:szCs w:val="21"/>
              </w:rPr>
            </w:pPr>
            <w:r w:rsidRPr="00646135">
              <w:rPr>
                <w:rFonts w:ascii="Calibri" w:hAnsi="Calibri" w:cs="Calibri"/>
                <w:color w:val="0E101A"/>
                <w:sz w:val="21"/>
                <w:szCs w:val="21"/>
              </w:rPr>
              <w:t>and its primary function is selecting cytosolic peptides to be transported into the ER. TAP also selects peptides with a better binding affinity to the MHC and facilitates MHC I folding and peptide binding. </w:t>
            </w:r>
            <w:r w:rsidRPr="00646135">
              <w:rPr>
                <w:rStyle w:val="Strong"/>
                <w:rFonts w:ascii="Calibri" w:hAnsi="Calibri" w:cs="Calibri"/>
                <w:color w:val="0E101A"/>
                <w:sz w:val="21"/>
                <w:szCs w:val="21"/>
              </w:rPr>
              <w:t>4)</w:t>
            </w:r>
            <w:r w:rsidRPr="00646135">
              <w:rPr>
                <w:rFonts w:ascii="Calibri" w:hAnsi="Calibri" w:cs="Calibri"/>
                <w:color w:val="0E101A"/>
                <w:sz w:val="21"/>
                <w:szCs w:val="21"/>
              </w:rPr>
              <w:t> MHC I peptide complexes are transported via transport vesicles to the Golgi apparatus and the plasma membrane. T-cells bind the MHC-associated peptide on the cell's surface by their </w:t>
            </w:r>
            <w:r w:rsidRPr="00646135">
              <w:rPr>
                <w:rStyle w:val="Strong"/>
                <w:rFonts w:ascii="Calibri" w:hAnsi="Calibri" w:cs="Calibri"/>
                <w:color w:val="0E101A"/>
                <w:sz w:val="21"/>
                <w:szCs w:val="21"/>
              </w:rPr>
              <w:t>TCR </w:t>
            </w:r>
            <w:r w:rsidRPr="00646135">
              <w:rPr>
                <w:rFonts w:ascii="Calibri" w:hAnsi="Calibri" w:cs="Calibri"/>
                <w:color w:val="0E101A"/>
                <w:sz w:val="21"/>
                <w:szCs w:val="21"/>
              </w:rPr>
              <w:t>(T Cell Receptor) and CD8 coreceptor. </w:t>
            </w:r>
            <w:r w:rsidRPr="00646135">
              <w:rPr>
                <w:rStyle w:val="Strong"/>
                <w:rFonts w:ascii="Calibri" w:hAnsi="Calibri" w:cs="Calibri"/>
                <w:color w:val="0E101A"/>
                <w:sz w:val="21"/>
                <w:szCs w:val="21"/>
              </w:rPr>
              <w:t>5) </w:t>
            </w:r>
            <w:r w:rsidRPr="00646135">
              <w:rPr>
                <w:rFonts w:ascii="Calibri" w:hAnsi="Calibri" w:cs="Calibri"/>
                <w:color w:val="0E101A"/>
                <w:sz w:val="21"/>
                <w:szCs w:val="21"/>
              </w:rPr>
              <w:t>The peptide associated with the MHC I molecule and recognized by T-cells is known as a </w:t>
            </w:r>
            <w:r w:rsidRPr="00646135">
              <w:rPr>
                <w:rStyle w:val="Strong"/>
                <w:rFonts w:ascii="Calibri" w:hAnsi="Calibri" w:cs="Calibri"/>
                <w:color w:val="0E101A"/>
                <w:sz w:val="21"/>
                <w:szCs w:val="21"/>
              </w:rPr>
              <w:t>T-cell epitope</w:t>
            </w:r>
            <w:hyperlink w:anchor="_msocom_1" w:tgtFrame="_blank" w:history="1">
              <w:r w:rsidRPr="00646135">
                <w:rPr>
                  <w:rStyle w:val="Hyperlink"/>
                  <w:rFonts w:ascii="Calibri" w:hAnsi="Calibri" w:cs="Calibri"/>
                  <w:color w:val="4A6EE0"/>
                  <w:sz w:val="21"/>
                  <w:szCs w:val="21"/>
                </w:rPr>
                <w:t>[1]</w:t>
              </w:r>
            </w:hyperlink>
            <w:r w:rsidRPr="00646135">
              <w:rPr>
                <w:rFonts w:ascii="Calibri" w:hAnsi="Calibri" w:cs="Calibri"/>
                <w:color w:val="0E101A"/>
                <w:sz w:val="21"/>
                <w:szCs w:val="21"/>
              </w:rPr>
              <w:t> </w:t>
            </w:r>
            <w:hyperlink w:anchor="_msocom_2" w:tgtFrame="_blank" w:history="1">
              <w:r w:rsidRPr="00646135">
                <w:rPr>
                  <w:rStyle w:val="Hyperlink"/>
                  <w:rFonts w:ascii="Calibri" w:hAnsi="Calibri" w:cs="Calibri"/>
                  <w:color w:val="4A6EE0"/>
                  <w:sz w:val="21"/>
                  <w:szCs w:val="21"/>
                </w:rPr>
                <w:t>[2]</w:t>
              </w:r>
            </w:hyperlink>
            <w:r w:rsidRPr="00646135">
              <w:rPr>
                <w:rFonts w:ascii="Calibri" w:hAnsi="Calibri" w:cs="Calibri"/>
                <w:color w:val="0E101A"/>
                <w:sz w:val="21"/>
                <w:szCs w:val="21"/>
              </w:rPr>
              <w:t xml:space="preserve"> . 5) CD8 T-cell releases cytotoxic protein to induce apoptosis. Made in </w:t>
            </w:r>
            <w:proofErr w:type="spellStart"/>
            <w:r w:rsidRPr="00646135">
              <w:rPr>
                <w:rFonts w:ascii="Calibri" w:hAnsi="Calibri" w:cs="Calibri"/>
                <w:color w:val="0E101A"/>
                <w:sz w:val="21"/>
                <w:szCs w:val="21"/>
              </w:rPr>
              <w:t>Biorender</w:t>
            </w:r>
            <w:proofErr w:type="spellEnd"/>
            <w:r w:rsidRPr="00646135">
              <w:rPr>
                <w:rFonts w:ascii="Calibri" w:hAnsi="Calibri" w:cs="Calibri"/>
                <w:color w:val="0E101A"/>
                <w:sz w:val="21"/>
                <w:szCs w:val="21"/>
              </w:rPr>
              <w:t>. </w:t>
            </w:r>
          </w:p>
          <w:p w14:paraId="588EE88B" w14:textId="33ED3715" w:rsidR="00936FBF" w:rsidRDefault="00936FBF">
            <w:pPr>
              <w:spacing w:line="240" w:lineRule="auto"/>
              <w:rPr>
                <w:rFonts w:ascii="Calibri" w:eastAsia="Calibri" w:hAnsi="Calibri" w:cs="Calibri"/>
                <w:sz w:val="21"/>
                <w:szCs w:val="21"/>
              </w:rPr>
            </w:pPr>
          </w:p>
        </w:tc>
      </w:tr>
    </w:tbl>
    <w:p w14:paraId="193880D0" w14:textId="2E66F599" w:rsidR="00936FBF" w:rsidRDefault="00646135">
      <w:r>
        <w:rPr>
          <w:noProof/>
        </w:rPr>
        <w:drawing>
          <wp:anchor distT="114300" distB="114300" distL="114300" distR="114300" simplePos="0" relativeHeight="251658240" behindDoc="0" locked="0" layoutInCell="1" hidden="0" allowOverlap="1" wp14:anchorId="7EE02746" wp14:editId="3C86B400">
            <wp:simplePos x="0" y="0"/>
            <wp:positionH relativeFrom="column">
              <wp:posOffset>2907266</wp:posOffset>
            </wp:positionH>
            <wp:positionV relativeFrom="paragraph">
              <wp:posOffset>-5488999</wp:posOffset>
            </wp:positionV>
            <wp:extent cx="3767138" cy="515869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767138" cy="5158692"/>
                    </a:xfrm>
                    <a:prstGeom prst="rect">
                      <a:avLst/>
                    </a:prstGeom>
                    <a:ln/>
                  </pic:spPr>
                </pic:pic>
              </a:graphicData>
            </a:graphic>
          </wp:anchor>
        </w:drawing>
      </w:r>
    </w:p>
    <w:p w14:paraId="00AFD76A" w14:textId="6415AF7C" w:rsidR="00936FBF" w:rsidRPr="00646135" w:rsidRDefault="00646135">
      <w:pPr>
        <w:widowControl w:val="0"/>
        <w:spacing w:after="200" w:line="263" w:lineRule="auto"/>
        <w:ind w:right="283"/>
        <w:rPr>
          <w:rFonts w:ascii="Calibri" w:eastAsia="Calibri" w:hAnsi="Calibri" w:cs="Calibri"/>
        </w:rPr>
      </w:pPr>
      <w:r w:rsidRPr="00646135">
        <w:rPr>
          <w:rFonts w:ascii="Calibri" w:hAnsi="Calibri" w:cs="Calibri"/>
        </w:rPr>
        <w:t>The recent increase in new and emerging infectious diseases underscores the need for rapid methods to develop effective </w:t>
      </w:r>
      <w:r w:rsidRPr="00646135">
        <w:rPr>
          <w:rStyle w:val="Strong"/>
          <w:rFonts w:ascii="Calibri" w:hAnsi="Calibri" w:cs="Calibri"/>
          <w:color w:val="0E101A"/>
        </w:rPr>
        <w:t>vaccines</w:t>
      </w:r>
      <w:r w:rsidRPr="00646135">
        <w:rPr>
          <w:rFonts w:ascii="Calibri" w:hAnsi="Calibri" w:cs="Calibri"/>
        </w:rPr>
        <w:t>. Vaccines are non-pathogenic forms of the microbe/ virus that induce an adaptive immune response and protect individuals from future infections. Traditional vaccines use inactivated whole organisms or large surface proteins from the organism to stimulate an immune response. </w:t>
      </w:r>
      <w:r w:rsidRPr="00646135">
        <w:rPr>
          <w:rStyle w:val="Strong"/>
          <w:rFonts w:ascii="Calibri" w:hAnsi="Calibri" w:cs="Calibri"/>
          <w:color w:val="0E101A"/>
        </w:rPr>
        <w:t>Peptide vaccines</w:t>
      </w:r>
      <w:r w:rsidRPr="00646135">
        <w:rPr>
          <w:rFonts w:ascii="Calibri" w:hAnsi="Calibri" w:cs="Calibri"/>
        </w:rPr>
        <w:t>, on the other hand, contain short amino acid sequences that constitute epitopes from the larger antigen that can induce both B-cell and T-cell responses. The advantage of peptide vaccines over whole organisms or proteins is that they eliminate extra allergic reactions to the large antigens. Other vaccines developed in recent years are made of DNA and mRNA molecules carrying the genetic coding for the immunogenic epitope. Identification of immunogenic B and T cell epitopes on the pathogen’s proteins help in the design and development of effective vaccines.  </w:t>
      </w:r>
    </w:p>
    <w:p w14:paraId="74E7A059" w14:textId="51A7E23E" w:rsidR="00936FBF" w:rsidRDefault="00936FBF">
      <w:pPr>
        <w:widowControl w:val="0"/>
        <w:spacing w:after="200" w:line="263" w:lineRule="auto"/>
        <w:ind w:right="283"/>
        <w:rPr>
          <w:rFonts w:ascii="Calibri" w:eastAsia="Calibri" w:hAnsi="Calibri" w:cs="Calibri"/>
        </w:rPr>
      </w:pPr>
    </w:p>
    <w:p w14:paraId="309F32C0" w14:textId="77777777" w:rsidR="00646135" w:rsidRDefault="00646135">
      <w:pPr>
        <w:widowControl w:val="0"/>
        <w:spacing w:after="200" w:line="263" w:lineRule="auto"/>
        <w:ind w:right="283"/>
        <w:rPr>
          <w:rFonts w:ascii="Calibri" w:eastAsia="Calibri" w:hAnsi="Calibri" w:cs="Calibri"/>
        </w:rPr>
      </w:pPr>
    </w:p>
    <w:p w14:paraId="487F0762" w14:textId="5EA4F923" w:rsidR="005A6C52" w:rsidRPr="005A6C52" w:rsidRDefault="005A6C52" w:rsidP="005A6C52">
      <w:pPr>
        <w:pStyle w:val="NormalWeb"/>
        <w:spacing w:before="0" w:beforeAutospacing="0" w:after="0" w:afterAutospacing="0"/>
        <w:rPr>
          <w:rFonts w:ascii="Calibri" w:hAnsi="Calibri" w:cs="Calibri"/>
          <w:color w:val="0E101A"/>
          <w:sz w:val="22"/>
          <w:szCs w:val="22"/>
        </w:rPr>
      </w:pPr>
      <w:r w:rsidRPr="005A6C52">
        <w:rPr>
          <w:rFonts w:ascii="Calibri" w:hAnsi="Calibri" w:cs="Calibri"/>
          <w:color w:val="0E101A"/>
          <w:sz w:val="22"/>
          <w:szCs w:val="22"/>
        </w:rPr>
        <w:lastRenderedPageBreak/>
        <w:t>The </w:t>
      </w:r>
      <w:r w:rsidRPr="005A6C52">
        <w:rPr>
          <w:rStyle w:val="Strong"/>
          <w:rFonts w:ascii="Calibri" w:hAnsi="Calibri" w:cs="Calibri"/>
          <w:color w:val="0E101A"/>
          <w:sz w:val="22"/>
          <w:szCs w:val="22"/>
        </w:rPr>
        <w:t>IEDB </w:t>
      </w:r>
      <w:r w:rsidRPr="005A6C52">
        <w:rPr>
          <w:rFonts w:ascii="Calibri" w:hAnsi="Calibri" w:cs="Calibri"/>
          <w:color w:val="0E101A"/>
          <w:sz w:val="22"/>
          <w:szCs w:val="22"/>
        </w:rPr>
        <w:t>(Immune Epitope Database and Analysis Resource</w:t>
      </w:r>
      <w:hyperlink w:anchor="_msocom_1" w:tgtFrame="_blank" w:history="1">
        <w:r w:rsidRPr="005A6C52">
          <w:rPr>
            <w:rStyle w:val="Hyperlink"/>
            <w:rFonts w:ascii="Calibri" w:hAnsi="Calibri" w:cs="Calibri"/>
            <w:color w:val="4A6EE0"/>
            <w:sz w:val="22"/>
            <w:szCs w:val="22"/>
          </w:rPr>
          <w:t>[</w:t>
        </w:r>
        <w:r w:rsidRPr="005A6C52">
          <w:rPr>
            <w:rStyle w:val="Hyperlink"/>
            <w:rFonts w:ascii="Calibri" w:hAnsi="Calibri" w:cs="Calibri"/>
            <w:color w:val="4A6EE0"/>
            <w:sz w:val="22"/>
            <w:szCs w:val="22"/>
          </w:rPr>
          <w:t>1</w:t>
        </w:r>
        <w:r w:rsidRPr="005A6C52">
          <w:rPr>
            <w:rStyle w:val="Hyperlink"/>
            <w:rFonts w:ascii="Calibri" w:hAnsi="Calibri" w:cs="Calibri"/>
            <w:color w:val="4A6EE0"/>
            <w:sz w:val="22"/>
            <w:szCs w:val="22"/>
          </w:rPr>
          <w:t>]</w:t>
        </w:r>
      </w:hyperlink>
      <w:r w:rsidRPr="005A6C52">
        <w:rPr>
          <w:rFonts w:ascii="Calibri" w:hAnsi="Calibri" w:cs="Calibri"/>
          <w:color w:val="0E101A"/>
          <w:sz w:val="22"/>
          <w:szCs w:val="22"/>
        </w:rPr>
        <w:t> ) is an example of a bioinformatic tool that can be used to predict the sequence and location of both linear (T-cells) and discontinuous (B Cell) epitopes in a protein structure. In this activity, we will learn how to predict CD8+ T-cell epitopes using the various tools available on the IEDB, using the SARS-CoV-2 Spike glycoprotein as an example.</w:t>
      </w:r>
    </w:p>
    <w:p w14:paraId="4C4B0D52" w14:textId="77777777" w:rsidR="005A6C52" w:rsidRPr="005A6C52" w:rsidRDefault="005A6C52" w:rsidP="005A6C52">
      <w:pPr>
        <w:pStyle w:val="NormalWeb"/>
        <w:spacing w:before="0" w:beforeAutospacing="0" w:after="0" w:afterAutospacing="0"/>
        <w:rPr>
          <w:rFonts w:ascii="Calibri" w:hAnsi="Calibri" w:cs="Calibri"/>
          <w:color w:val="0E101A"/>
          <w:sz w:val="22"/>
          <w:szCs w:val="22"/>
        </w:rPr>
      </w:pPr>
      <w:r w:rsidRPr="005A6C52">
        <w:rPr>
          <w:rFonts w:ascii="Calibri" w:hAnsi="Calibri" w:cs="Calibri"/>
          <w:color w:val="0E101A"/>
          <w:sz w:val="22"/>
          <w:szCs w:val="22"/>
        </w:rPr>
        <w:t>In this activity, we will predict and evaluate the initial cell organelle interaction with a foreign virus protein. This organelle is the proteasome; its function is to break down proteins into peptides of 8-11 amino acids.</w:t>
      </w:r>
    </w:p>
    <w:p w14:paraId="7639AFAA" w14:textId="77777777" w:rsidR="00936FBF" w:rsidRDefault="00936FBF">
      <w:pPr>
        <w:widowControl w:val="0"/>
        <w:spacing w:before="172" w:line="263" w:lineRule="auto"/>
        <w:ind w:left="4" w:right="812" w:firstLine="2"/>
        <w:rPr>
          <w:rFonts w:ascii="Calibri" w:eastAsia="Calibri" w:hAnsi="Calibri" w:cs="Calibri"/>
        </w:rPr>
      </w:pPr>
    </w:p>
    <w:p w14:paraId="1E14FF8D" w14:textId="77777777" w:rsidR="00936FBF" w:rsidRPr="002C5E3F" w:rsidRDefault="00000000">
      <w:pPr>
        <w:widowControl w:val="0"/>
        <w:spacing w:line="263" w:lineRule="auto"/>
        <w:ind w:right="331"/>
        <w:rPr>
          <w:rFonts w:ascii="Calibri" w:eastAsia="Calibri" w:hAnsi="Calibri" w:cs="Calibri"/>
          <w:b/>
          <w:sz w:val="26"/>
          <w:szCs w:val="26"/>
        </w:rPr>
      </w:pPr>
      <w:r w:rsidRPr="002C5E3F">
        <w:rPr>
          <w:rFonts w:ascii="Calibri" w:eastAsia="Calibri" w:hAnsi="Calibri" w:cs="Calibri"/>
          <w:b/>
          <w:sz w:val="26"/>
          <w:szCs w:val="26"/>
        </w:rPr>
        <w:t>Test your knowledge: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FBF" w14:paraId="2B7B3710" w14:textId="77777777">
        <w:trPr>
          <w:trHeight w:val="4723"/>
        </w:trPr>
        <w:tc>
          <w:tcPr>
            <w:tcW w:w="9360" w:type="dxa"/>
            <w:shd w:val="clear" w:color="auto" w:fill="auto"/>
            <w:tcMar>
              <w:top w:w="100" w:type="dxa"/>
              <w:left w:w="100" w:type="dxa"/>
              <w:bottom w:w="100" w:type="dxa"/>
              <w:right w:w="100" w:type="dxa"/>
            </w:tcMar>
          </w:tcPr>
          <w:p w14:paraId="269C8231" w14:textId="77777777" w:rsidR="00936FBF" w:rsidRDefault="00000000">
            <w:pPr>
              <w:rPr>
                <w:rFonts w:ascii="Calibri" w:eastAsia="Calibri" w:hAnsi="Calibri" w:cs="Calibri"/>
                <w:color w:val="741B47"/>
              </w:rPr>
            </w:pPr>
            <w:r>
              <w:rPr>
                <w:rFonts w:ascii="Calibri" w:eastAsia="Calibri" w:hAnsi="Calibri" w:cs="Calibri"/>
                <w:color w:val="741B47"/>
              </w:rPr>
              <w:t>Q1 What is the purpose of antigen presentation?</w:t>
            </w:r>
          </w:p>
          <w:tbl>
            <w:tblPr>
              <w:tblStyle w:val="a3"/>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936FBF" w14:paraId="471C981C" w14:textId="77777777">
              <w:tc>
                <w:tcPr>
                  <w:tcW w:w="9160" w:type="dxa"/>
                  <w:shd w:val="clear" w:color="auto" w:fill="auto"/>
                  <w:tcMar>
                    <w:top w:w="100" w:type="dxa"/>
                    <w:left w:w="100" w:type="dxa"/>
                    <w:bottom w:w="100" w:type="dxa"/>
                    <w:right w:w="100" w:type="dxa"/>
                  </w:tcMar>
                </w:tcPr>
                <w:p w14:paraId="5D3B4D98" w14:textId="77777777" w:rsidR="00936FBF" w:rsidRDefault="00936FBF">
                  <w:pPr>
                    <w:widowControl w:val="0"/>
                    <w:spacing w:line="240" w:lineRule="auto"/>
                    <w:rPr>
                      <w:rFonts w:ascii="Calibri" w:eastAsia="Calibri" w:hAnsi="Calibri" w:cs="Calibri"/>
                      <w:color w:val="741B47"/>
                    </w:rPr>
                  </w:pPr>
                </w:p>
              </w:tc>
            </w:tr>
          </w:tbl>
          <w:p w14:paraId="2F04467C" w14:textId="77777777" w:rsidR="00936FBF" w:rsidRDefault="00936FBF">
            <w:pPr>
              <w:rPr>
                <w:rFonts w:ascii="Calibri" w:eastAsia="Calibri" w:hAnsi="Calibri" w:cs="Calibri"/>
                <w:color w:val="741B47"/>
              </w:rPr>
            </w:pPr>
          </w:p>
          <w:p w14:paraId="5210D47E" w14:textId="77777777" w:rsidR="00936FBF" w:rsidRDefault="00000000">
            <w:pPr>
              <w:rPr>
                <w:rFonts w:ascii="Calibri" w:eastAsia="Calibri" w:hAnsi="Calibri" w:cs="Calibri"/>
                <w:color w:val="741B47"/>
              </w:rPr>
            </w:pPr>
            <w:r>
              <w:rPr>
                <w:rFonts w:ascii="Calibri" w:eastAsia="Calibri" w:hAnsi="Calibri" w:cs="Calibri"/>
                <w:color w:val="741B47"/>
              </w:rPr>
              <w:t>Q2. Describe the proteasome and their function.</w:t>
            </w:r>
          </w:p>
          <w:tbl>
            <w:tblPr>
              <w:tblStyle w:val="a4"/>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936FBF" w14:paraId="35B43E5A" w14:textId="77777777">
              <w:tc>
                <w:tcPr>
                  <w:tcW w:w="9160" w:type="dxa"/>
                  <w:shd w:val="clear" w:color="auto" w:fill="auto"/>
                  <w:tcMar>
                    <w:top w:w="100" w:type="dxa"/>
                    <w:left w:w="100" w:type="dxa"/>
                    <w:bottom w:w="100" w:type="dxa"/>
                    <w:right w:w="100" w:type="dxa"/>
                  </w:tcMar>
                </w:tcPr>
                <w:p w14:paraId="6AB4D09E" w14:textId="77777777" w:rsidR="00936FBF" w:rsidRDefault="00936FBF">
                  <w:pPr>
                    <w:widowControl w:val="0"/>
                    <w:spacing w:line="240" w:lineRule="auto"/>
                    <w:rPr>
                      <w:rFonts w:ascii="Calibri" w:eastAsia="Calibri" w:hAnsi="Calibri" w:cs="Calibri"/>
                      <w:color w:val="741B47"/>
                    </w:rPr>
                  </w:pPr>
                </w:p>
              </w:tc>
            </w:tr>
          </w:tbl>
          <w:p w14:paraId="5EC8CD53" w14:textId="77777777" w:rsidR="00936FBF" w:rsidRDefault="00936FBF">
            <w:pPr>
              <w:rPr>
                <w:rFonts w:ascii="Calibri" w:eastAsia="Calibri" w:hAnsi="Calibri" w:cs="Calibri"/>
                <w:color w:val="741B47"/>
              </w:rPr>
            </w:pPr>
          </w:p>
          <w:p w14:paraId="5879BFB1" w14:textId="77777777" w:rsidR="00936FBF" w:rsidRDefault="00000000">
            <w:pPr>
              <w:rPr>
                <w:rFonts w:ascii="Calibri" w:eastAsia="Calibri" w:hAnsi="Calibri" w:cs="Calibri"/>
                <w:color w:val="741B47"/>
              </w:rPr>
            </w:pPr>
            <w:r>
              <w:rPr>
                <w:rFonts w:ascii="Calibri" w:eastAsia="Calibri" w:hAnsi="Calibri" w:cs="Calibri"/>
                <w:color w:val="741B47"/>
              </w:rPr>
              <w:t>Q3. What is an epitope? What does it interact with?</w:t>
            </w:r>
          </w:p>
          <w:tbl>
            <w:tblPr>
              <w:tblStyle w:val="a5"/>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936FBF" w14:paraId="2FCBF91E" w14:textId="77777777">
              <w:tc>
                <w:tcPr>
                  <w:tcW w:w="9160" w:type="dxa"/>
                  <w:shd w:val="clear" w:color="auto" w:fill="auto"/>
                  <w:tcMar>
                    <w:top w:w="100" w:type="dxa"/>
                    <w:left w:w="100" w:type="dxa"/>
                    <w:bottom w:w="100" w:type="dxa"/>
                    <w:right w:w="100" w:type="dxa"/>
                  </w:tcMar>
                </w:tcPr>
                <w:p w14:paraId="51BBE1A3" w14:textId="77777777" w:rsidR="00936FBF" w:rsidRDefault="00936FBF">
                  <w:pPr>
                    <w:widowControl w:val="0"/>
                    <w:spacing w:line="240" w:lineRule="auto"/>
                    <w:rPr>
                      <w:rFonts w:ascii="Calibri" w:eastAsia="Calibri" w:hAnsi="Calibri" w:cs="Calibri"/>
                      <w:color w:val="741B47"/>
                    </w:rPr>
                  </w:pPr>
                </w:p>
              </w:tc>
            </w:tr>
          </w:tbl>
          <w:p w14:paraId="3F20B1A4" w14:textId="77777777" w:rsidR="00936FBF" w:rsidRDefault="00936FBF">
            <w:pPr>
              <w:widowControl w:val="0"/>
              <w:spacing w:after="200" w:line="243" w:lineRule="auto"/>
              <w:rPr>
                <w:rFonts w:ascii="Calibri" w:eastAsia="Calibri" w:hAnsi="Calibri" w:cs="Calibri"/>
                <w:color w:val="741B47"/>
              </w:rPr>
            </w:pPr>
          </w:p>
          <w:p w14:paraId="644BADD4" w14:textId="77777777" w:rsidR="00936FBF" w:rsidRDefault="00000000">
            <w:pPr>
              <w:widowControl w:val="0"/>
              <w:spacing w:after="200" w:line="243" w:lineRule="auto"/>
              <w:rPr>
                <w:rFonts w:ascii="Calibri" w:eastAsia="Calibri" w:hAnsi="Calibri" w:cs="Calibri"/>
                <w:color w:val="741B47"/>
              </w:rPr>
            </w:pPr>
            <w:r>
              <w:rPr>
                <w:rFonts w:ascii="Calibri" w:eastAsia="Calibri" w:hAnsi="Calibri" w:cs="Calibri"/>
                <w:color w:val="741B47"/>
              </w:rPr>
              <w:t>Q4. What is the general length of a peptide after being processed in the proteasome?</w:t>
            </w:r>
          </w:p>
          <w:tbl>
            <w:tblPr>
              <w:tblStyle w:val="a6"/>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936FBF" w14:paraId="4C8A6C41" w14:textId="77777777">
              <w:tc>
                <w:tcPr>
                  <w:tcW w:w="9160" w:type="dxa"/>
                  <w:shd w:val="clear" w:color="auto" w:fill="auto"/>
                  <w:tcMar>
                    <w:top w:w="100" w:type="dxa"/>
                    <w:left w:w="100" w:type="dxa"/>
                    <w:bottom w:w="100" w:type="dxa"/>
                    <w:right w:w="100" w:type="dxa"/>
                  </w:tcMar>
                </w:tcPr>
                <w:p w14:paraId="46588245" w14:textId="77777777" w:rsidR="00936FBF" w:rsidRDefault="00936FBF">
                  <w:pPr>
                    <w:widowControl w:val="0"/>
                    <w:spacing w:line="240" w:lineRule="auto"/>
                    <w:rPr>
                      <w:rFonts w:ascii="Calibri" w:eastAsia="Calibri" w:hAnsi="Calibri" w:cs="Calibri"/>
                      <w:color w:val="741B47"/>
                    </w:rPr>
                  </w:pPr>
                </w:p>
              </w:tc>
            </w:tr>
          </w:tbl>
          <w:p w14:paraId="7567D59F" w14:textId="77777777" w:rsidR="00936FBF" w:rsidRDefault="00936FBF">
            <w:pPr>
              <w:rPr>
                <w:rFonts w:ascii="Calibri" w:eastAsia="Calibri" w:hAnsi="Calibri" w:cs="Calibri"/>
                <w:color w:val="741B47"/>
              </w:rPr>
            </w:pPr>
          </w:p>
        </w:tc>
      </w:tr>
      <w:tr w:rsidR="00936FBF" w14:paraId="52495A35" w14:textId="77777777">
        <w:tc>
          <w:tcPr>
            <w:tcW w:w="9360" w:type="dxa"/>
            <w:shd w:val="clear" w:color="auto" w:fill="auto"/>
            <w:tcMar>
              <w:top w:w="100" w:type="dxa"/>
              <w:left w:w="100" w:type="dxa"/>
              <w:bottom w:w="100" w:type="dxa"/>
              <w:right w:w="100" w:type="dxa"/>
            </w:tcMar>
          </w:tcPr>
          <w:p w14:paraId="30FC35DB" w14:textId="77777777" w:rsidR="00936FBF" w:rsidRDefault="00000000">
            <w:pPr>
              <w:widowControl w:val="0"/>
              <w:spacing w:after="200" w:line="263" w:lineRule="auto"/>
              <w:ind w:right="601"/>
              <w:rPr>
                <w:rFonts w:ascii="Calibri" w:eastAsia="Calibri" w:hAnsi="Calibri" w:cs="Calibri"/>
                <w:b/>
                <w:color w:val="741B47"/>
              </w:rPr>
            </w:pPr>
            <w:r>
              <w:rPr>
                <w:rFonts w:ascii="Calibri" w:eastAsia="Calibri" w:hAnsi="Calibri" w:cs="Calibri"/>
                <w:color w:val="741B47"/>
              </w:rPr>
              <w:t>Q5. Compare and contrast the structural differences between linear and discontinuous epitopes?</w:t>
            </w:r>
          </w:p>
          <w:tbl>
            <w:tblPr>
              <w:tblStyle w:val="a7"/>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4"/>
              <w:gridCol w:w="3053"/>
              <w:gridCol w:w="3053"/>
            </w:tblGrid>
            <w:tr w:rsidR="00936FBF" w14:paraId="42038A6C" w14:textId="77777777">
              <w:tc>
                <w:tcPr>
                  <w:tcW w:w="3053" w:type="dxa"/>
                  <w:shd w:val="clear" w:color="auto" w:fill="auto"/>
                  <w:tcMar>
                    <w:top w:w="100" w:type="dxa"/>
                    <w:left w:w="100" w:type="dxa"/>
                    <w:bottom w:w="100" w:type="dxa"/>
                    <w:right w:w="100" w:type="dxa"/>
                  </w:tcMar>
                </w:tcPr>
                <w:p w14:paraId="56AAF29E" w14:textId="77777777" w:rsidR="00936FBF" w:rsidRDefault="00000000">
                  <w:pPr>
                    <w:widowControl w:val="0"/>
                    <w:spacing w:line="240" w:lineRule="auto"/>
                    <w:rPr>
                      <w:rFonts w:ascii="Calibri" w:eastAsia="Calibri" w:hAnsi="Calibri" w:cs="Calibri"/>
                      <w:b/>
                      <w:color w:val="741B47"/>
                    </w:rPr>
                  </w:pPr>
                  <w:r>
                    <w:rPr>
                      <w:rFonts w:ascii="Calibri" w:eastAsia="Calibri" w:hAnsi="Calibri" w:cs="Calibri"/>
                      <w:b/>
                      <w:color w:val="741B47"/>
                    </w:rPr>
                    <w:t>Type of Epitope</w:t>
                  </w:r>
                </w:p>
              </w:tc>
              <w:tc>
                <w:tcPr>
                  <w:tcW w:w="3053" w:type="dxa"/>
                  <w:shd w:val="clear" w:color="auto" w:fill="auto"/>
                  <w:tcMar>
                    <w:top w:w="100" w:type="dxa"/>
                    <w:left w:w="100" w:type="dxa"/>
                    <w:bottom w:w="100" w:type="dxa"/>
                    <w:right w:w="100" w:type="dxa"/>
                  </w:tcMar>
                </w:tcPr>
                <w:p w14:paraId="772A6BFD" w14:textId="77777777" w:rsidR="00936FBF" w:rsidRDefault="00000000">
                  <w:pPr>
                    <w:widowControl w:val="0"/>
                    <w:spacing w:line="240" w:lineRule="auto"/>
                    <w:rPr>
                      <w:rFonts w:ascii="Calibri" w:eastAsia="Calibri" w:hAnsi="Calibri" w:cs="Calibri"/>
                      <w:b/>
                      <w:color w:val="741B47"/>
                    </w:rPr>
                  </w:pPr>
                  <w:r>
                    <w:rPr>
                      <w:rFonts w:ascii="Calibri" w:eastAsia="Calibri" w:hAnsi="Calibri" w:cs="Calibri"/>
                      <w:b/>
                      <w:color w:val="741B47"/>
                    </w:rPr>
                    <w:t>Linear Epitope</w:t>
                  </w:r>
                </w:p>
              </w:tc>
              <w:tc>
                <w:tcPr>
                  <w:tcW w:w="3053" w:type="dxa"/>
                  <w:shd w:val="clear" w:color="auto" w:fill="auto"/>
                  <w:tcMar>
                    <w:top w:w="100" w:type="dxa"/>
                    <w:left w:w="100" w:type="dxa"/>
                    <w:bottom w:w="100" w:type="dxa"/>
                    <w:right w:w="100" w:type="dxa"/>
                  </w:tcMar>
                </w:tcPr>
                <w:p w14:paraId="317DCBE3" w14:textId="77777777" w:rsidR="00936FBF" w:rsidRDefault="00000000">
                  <w:pPr>
                    <w:widowControl w:val="0"/>
                    <w:spacing w:line="240" w:lineRule="auto"/>
                    <w:rPr>
                      <w:rFonts w:ascii="Calibri" w:eastAsia="Calibri" w:hAnsi="Calibri" w:cs="Calibri"/>
                      <w:b/>
                      <w:color w:val="741B47"/>
                    </w:rPr>
                  </w:pPr>
                  <w:r>
                    <w:rPr>
                      <w:rFonts w:ascii="Calibri" w:eastAsia="Calibri" w:hAnsi="Calibri" w:cs="Calibri"/>
                      <w:b/>
                      <w:color w:val="741B47"/>
                    </w:rPr>
                    <w:t>Discontinuous Epitope</w:t>
                  </w:r>
                </w:p>
              </w:tc>
            </w:tr>
            <w:tr w:rsidR="00936FBF" w14:paraId="034F4B08" w14:textId="77777777">
              <w:trPr>
                <w:trHeight w:val="440"/>
              </w:trPr>
              <w:tc>
                <w:tcPr>
                  <w:tcW w:w="3053" w:type="dxa"/>
                  <w:shd w:val="clear" w:color="auto" w:fill="auto"/>
                  <w:tcMar>
                    <w:top w:w="100" w:type="dxa"/>
                    <w:left w:w="100" w:type="dxa"/>
                    <w:bottom w:w="100" w:type="dxa"/>
                    <w:right w:w="100" w:type="dxa"/>
                  </w:tcMar>
                </w:tcPr>
                <w:p w14:paraId="1CE22B9A" w14:textId="77777777" w:rsidR="00936FBF" w:rsidRDefault="00000000">
                  <w:pPr>
                    <w:widowControl w:val="0"/>
                    <w:spacing w:line="240" w:lineRule="auto"/>
                    <w:rPr>
                      <w:rFonts w:ascii="Calibri" w:eastAsia="Calibri" w:hAnsi="Calibri" w:cs="Calibri"/>
                      <w:color w:val="741B47"/>
                    </w:rPr>
                  </w:pPr>
                  <w:r>
                    <w:rPr>
                      <w:rFonts w:ascii="Calibri" w:eastAsia="Calibri" w:hAnsi="Calibri" w:cs="Calibri"/>
                      <w:color w:val="741B47"/>
                    </w:rPr>
                    <w:t>Similarities</w:t>
                  </w:r>
                </w:p>
              </w:tc>
              <w:tc>
                <w:tcPr>
                  <w:tcW w:w="6106" w:type="dxa"/>
                  <w:gridSpan w:val="2"/>
                  <w:shd w:val="clear" w:color="auto" w:fill="auto"/>
                  <w:tcMar>
                    <w:top w:w="100" w:type="dxa"/>
                    <w:left w:w="100" w:type="dxa"/>
                    <w:bottom w:w="100" w:type="dxa"/>
                    <w:right w:w="100" w:type="dxa"/>
                  </w:tcMar>
                </w:tcPr>
                <w:p w14:paraId="2BAF68AC" w14:textId="77777777" w:rsidR="00936FBF" w:rsidRDefault="00936FBF">
                  <w:pPr>
                    <w:widowControl w:val="0"/>
                    <w:spacing w:line="240" w:lineRule="auto"/>
                    <w:rPr>
                      <w:rFonts w:ascii="Calibri" w:eastAsia="Calibri" w:hAnsi="Calibri" w:cs="Calibri"/>
                      <w:b/>
                      <w:color w:val="741B47"/>
                    </w:rPr>
                  </w:pPr>
                </w:p>
              </w:tc>
            </w:tr>
            <w:tr w:rsidR="00936FBF" w14:paraId="26CB667B" w14:textId="77777777">
              <w:tc>
                <w:tcPr>
                  <w:tcW w:w="3053" w:type="dxa"/>
                  <w:shd w:val="clear" w:color="auto" w:fill="auto"/>
                  <w:tcMar>
                    <w:top w:w="100" w:type="dxa"/>
                    <w:left w:w="100" w:type="dxa"/>
                    <w:bottom w:w="100" w:type="dxa"/>
                    <w:right w:w="100" w:type="dxa"/>
                  </w:tcMar>
                </w:tcPr>
                <w:p w14:paraId="13FE1C65" w14:textId="77777777" w:rsidR="00936FBF" w:rsidRDefault="00000000">
                  <w:pPr>
                    <w:widowControl w:val="0"/>
                    <w:spacing w:line="240" w:lineRule="auto"/>
                    <w:rPr>
                      <w:rFonts w:ascii="Calibri" w:eastAsia="Calibri" w:hAnsi="Calibri" w:cs="Calibri"/>
                      <w:color w:val="741B47"/>
                    </w:rPr>
                  </w:pPr>
                  <w:r>
                    <w:rPr>
                      <w:rFonts w:ascii="Calibri" w:eastAsia="Calibri" w:hAnsi="Calibri" w:cs="Calibri"/>
                      <w:color w:val="741B47"/>
                    </w:rPr>
                    <w:t>Differences</w:t>
                  </w:r>
                </w:p>
              </w:tc>
              <w:tc>
                <w:tcPr>
                  <w:tcW w:w="3053" w:type="dxa"/>
                  <w:shd w:val="clear" w:color="auto" w:fill="auto"/>
                  <w:tcMar>
                    <w:top w:w="100" w:type="dxa"/>
                    <w:left w:w="100" w:type="dxa"/>
                    <w:bottom w:w="100" w:type="dxa"/>
                    <w:right w:w="100" w:type="dxa"/>
                  </w:tcMar>
                </w:tcPr>
                <w:p w14:paraId="169401CC" w14:textId="77777777" w:rsidR="00936FBF" w:rsidRDefault="00936FBF">
                  <w:pPr>
                    <w:widowControl w:val="0"/>
                    <w:spacing w:line="240" w:lineRule="auto"/>
                    <w:rPr>
                      <w:rFonts w:ascii="Calibri" w:eastAsia="Calibri" w:hAnsi="Calibri" w:cs="Calibri"/>
                      <w:b/>
                      <w:color w:val="741B47"/>
                    </w:rPr>
                  </w:pPr>
                </w:p>
              </w:tc>
              <w:tc>
                <w:tcPr>
                  <w:tcW w:w="3053" w:type="dxa"/>
                  <w:shd w:val="clear" w:color="auto" w:fill="auto"/>
                  <w:tcMar>
                    <w:top w:w="100" w:type="dxa"/>
                    <w:left w:w="100" w:type="dxa"/>
                    <w:bottom w:w="100" w:type="dxa"/>
                    <w:right w:w="100" w:type="dxa"/>
                  </w:tcMar>
                </w:tcPr>
                <w:p w14:paraId="4715B4F1" w14:textId="77777777" w:rsidR="00936FBF" w:rsidRDefault="00936FBF">
                  <w:pPr>
                    <w:widowControl w:val="0"/>
                    <w:spacing w:line="240" w:lineRule="auto"/>
                    <w:rPr>
                      <w:rFonts w:ascii="Calibri" w:eastAsia="Calibri" w:hAnsi="Calibri" w:cs="Calibri"/>
                      <w:b/>
                      <w:color w:val="741B47"/>
                    </w:rPr>
                  </w:pPr>
                </w:p>
              </w:tc>
            </w:tr>
          </w:tbl>
          <w:p w14:paraId="642749DC" w14:textId="77777777" w:rsidR="00936FBF" w:rsidRDefault="00936FBF">
            <w:pPr>
              <w:widowControl w:val="0"/>
              <w:spacing w:line="240" w:lineRule="auto"/>
              <w:rPr>
                <w:rFonts w:ascii="Calibri" w:eastAsia="Calibri" w:hAnsi="Calibri" w:cs="Calibri"/>
                <w:b/>
                <w:color w:val="741B47"/>
              </w:rPr>
            </w:pPr>
          </w:p>
        </w:tc>
      </w:tr>
      <w:tr w:rsidR="00936FBF" w14:paraId="7BD3AEBC" w14:textId="77777777">
        <w:tc>
          <w:tcPr>
            <w:tcW w:w="9360" w:type="dxa"/>
            <w:shd w:val="clear" w:color="auto" w:fill="auto"/>
            <w:tcMar>
              <w:top w:w="100" w:type="dxa"/>
              <w:left w:w="100" w:type="dxa"/>
              <w:bottom w:w="100" w:type="dxa"/>
              <w:right w:w="100" w:type="dxa"/>
            </w:tcMar>
          </w:tcPr>
          <w:p w14:paraId="63168290" w14:textId="77777777" w:rsidR="00936FBF" w:rsidRDefault="00000000">
            <w:pPr>
              <w:widowControl w:val="0"/>
              <w:spacing w:line="263" w:lineRule="auto"/>
              <w:ind w:right="601"/>
              <w:rPr>
                <w:rFonts w:ascii="Calibri" w:eastAsia="Calibri" w:hAnsi="Calibri" w:cs="Calibri"/>
                <w:color w:val="741B47"/>
              </w:rPr>
            </w:pPr>
            <w:r>
              <w:rPr>
                <w:rFonts w:ascii="Calibri" w:eastAsia="Calibri" w:hAnsi="Calibri" w:cs="Calibri"/>
                <w:color w:val="741B47"/>
              </w:rPr>
              <w:t xml:space="preserve">Q6. Why are T-cell epitopes linear and B-cell epitopes more likely to be </w:t>
            </w:r>
            <w:proofErr w:type="gramStart"/>
            <w:r>
              <w:rPr>
                <w:rFonts w:ascii="Calibri" w:eastAsia="Calibri" w:hAnsi="Calibri" w:cs="Calibri"/>
                <w:color w:val="741B47"/>
              </w:rPr>
              <w:t>conformational  (</w:t>
            </w:r>
            <w:proofErr w:type="gramEnd"/>
            <w:r>
              <w:rPr>
                <w:rFonts w:ascii="Calibri" w:eastAsia="Calibri" w:hAnsi="Calibri" w:cs="Calibri"/>
                <w:color w:val="741B47"/>
              </w:rPr>
              <w:t>discontinuous)?</w:t>
            </w:r>
          </w:p>
          <w:p w14:paraId="719BA9F2" w14:textId="77777777" w:rsidR="00936FBF" w:rsidRDefault="00936FBF">
            <w:pPr>
              <w:widowControl w:val="0"/>
              <w:spacing w:line="263" w:lineRule="auto"/>
              <w:ind w:right="601"/>
              <w:rPr>
                <w:rFonts w:ascii="Calibri" w:eastAsia="Calibri" w:hAnsi="Calibri" w:cs="Calibri"/>
                <w:color w:val="741B47"/>
              </w:rPr>
            </w:pPr>
          </w:p>
        </w:tc>
      </w:tr>
    </w:tbl>
    <w:p w14:paraId="02E34C06" w14:textId="756CF108" w:rsidR="00936FBF" w:rsidRDefault="00936FBF">
      <w:pPr>
        <w:widowControl w:val="0"/>
        <w:spacing w:line="263" w:lineRule="auto"/>
        <w:ind w:right="601"/>
        <w:rPr>
          <w:rFonts w:ascii="Calibri" w:eastAsia="Calibri" w:hAnsi="Calibri" w:cs="Calibri"/>
        </w:rPr>
      </w:pPr>
    </w:p>
    <w:p w14:paraId="6F67AA3A" w14:textId="39DD70CA" w:rsidR="002C5E3F" w:rsidRDefault="002C5E3F">
      <w:pPr>
        <w:widowControl w:val="0"/>
        <w:spacing w:line="263" w:lineRule="auto"/>
        <w:ind w:right="601"/>
        <w:rPr>
          <w:rFonts w:ascii="Calibri" w:eastAsia="Calibri" w:hAnsi="Calibri" w:cs="Calibri"/>
        </w:rPr>
      </w:pPr>
    </w:p>
    <w:p w14:paraId="7F3CB8E4" w14:textId="77777777" w:rsidR="00B23A8D" w:rsidRDefault="00B23A8D">
      <w:pPr>
        <w:widowControl w:val="0"/>
        <w:spacing w:line="263" w:lineRule="auto"/>
        <w:ind w:right="601"/>
        <w:rPr>
          <w:rFonts w:ascii="Calibri" w:eastAsia="Calibri" w:hAnsi="Calibri" w:cs="Calibri"/>
        </w:rPr>
      </w:pPr>
    </w:p>
    <w:p w14:paraId="64E8410B" w14:textId="77777777" w:rsidR="00936FBF" w:rsidRDefault="00936FBF">
      <w:pPr>
        <w:widowControl w:val="0"/>
        <w:spacing w:line="263" w:lineRule="auto"/>
        <w:ind w:right="601"/>
        <w:rPr>
          <w:rFonts w:ascii="Calibri" w:eastAsia="Calibri" w:hAnsi="Calibri" w:cs="Calibri"/>
          <w:b/>
          <w:sz w:val="30"/>
          <w:szCs w:val="30"/>
        </w:rPr>
      </w:pPr>
    </w:p>
    <w:p w14:paraId="3D142C0C" w14:textId="77777777" w:rsidR="00936FBF" w:rsidRPr="002C5E3F" w:rsidRDefault="00000000">
      <w:pPr>
        <w:widowControl w:val="0"/>
        <w:spacing w:line="263" w:lineRule="auto"/>
        <w:ind w:right="601"/>
        <w:rPr>
          <w:rFonts w:ascii="Calibri" w:eastAsia="Calibri" w:hAnsi="Calibri" w:cs="Calibri"/>
          <w:b/>
          <w:sz w:val="26"/>
          <w:szCs w:val="26"/>
        </w:rPr>
      </w:pPr>
      <w:r w:rsidRPr="002C5E3F">
        <w:rPr>
          <w:rFonts w:ascii="Calibri" w:eastAsia="Calibri" w:hAnsi="Calibri" w:cs="Calibri"/>
          <w:b/>
          <w:sz w:val="26"/>
          <w:szCs w:val="26"/>
        </w:rPr>
        <w:lastRenderedPageBreak/>
        <w:t xml:space="preserve">Activity: Using the Immune Epitope Database </w:t>
      </w:r>
    </w:p>
    <w:p w14:paraId="49EAAC2A" w14:textId="77777777" w:rsidR="00936FBF" w:rsidRDefault="00000000">
      <w:pPr>
        <w:widowControl w:val="0"/>
        <w:spacing w:before="319" w:line="240" w:lineRule="auto"/>
        <w:rPr>
          <w:rFonts w:ascii="Calibri" w:eastAsia="Calibri" w:hAnsi="Calibri" w:cs="Calibri"/>
        </w:rPr>
      </w:pPr>
      <w:r>
        <w:rPr>
          <w:rFonts w:ascii="Calibri" w:eastAsia="Calibri" w:hAnsi="Calibri" w:cs="Calibri"/>
        </w:rPr>
        <w:t>Let’s simulate how cells process foreign antigens using a tool from the</w:t>
      </w:r>
      <w:commentRangeStart w:id="0"/>
      <w:r>
        <w:rPr>
          <w:rFonts w:ascii="Calibri" w:eastAsia="Calibri" w:hAnsi="Calibri" w:cs="Calibri"/>
        </w:rPr>
        <w:t xml:space="preserve"> </w:t>
      </w:r>
      <w:hyperlink r:id="rId6">
        <w:r>
          <w:rPr>
            <w:rFonts w:ascii="Calibri" w:eastAsia="Calibri" w:hAnsi="Calibri" w:cs="Calibri"/>
            <w:color w:val="1155CC"/>
            <w:u w:val="single"/>
          </w:rPr>
          <w:t>IEDB</w:t>
        </w:r>
      </w:hyperlink>
      <w:commentRangeEnd w:id="0"/>
      <w:r>
        <w:commentReference w:id="0"/>
      </w:r>
    </w:p>
    <w:p w14:paraId="4ADB9F00" w14:textId="77777777" w:rsidR="00936FBF" w:rsidRDefault="00000000">
      <w:pPr>
        <w:widowControl w:val="0"/>
        <w:numPr>
          <w:ilvl w:val="0"/>
          <w:numId w:val="1"/>
        </w:numPr>
        <w:spacing w:before="328" w:line="263" w:lineRule="auto"/>
        <w:ind w:right="379"/>
        <w:rPr>
          <w:rFonts w:ascii="Calibri" w:eastAsia="Calibri" w:hAnsi="Calibri" w:cs="Calibri"/>
        </w:rPr>
      </w:pPr>
      <w:r>
        <w:rPr>
          <w:rFonts w:ascii="Calibri" w:eastAsia="Calibri" w:hAnsi="Calibri" w:cs="Calibri"/>
        </w:rPr>
        <w:t xml:space="preserve">Go to the </w:t>
      </w:r>
      <w:hyperlink r:id="rId10">
        <w:proofErr w:type="spellStart"/>
        <w:r>
          <w:rPr>
            <w:rFonts w:ascii="Calibri" w:eastAsia="Calibri" w:hAnsi="Calibri" w:cs="Calibri"/>
            <w:color w:val="1155CC"/>
            <w:u w:val="single"/>
          </w:rPr>
          <w:t>Uniprot</w:t>
        </w:r>
        <w:proofErr w:type="spellEnd"/>
        <w:r>
          <w:rPr>
            <w:rFonts w:ascii="Calibri" w:eastAsia="Calibri" w:hAnsi="Calibri" w:cs="Calibri"/>
            <w:color w:val="1155CC"/>
            <w:u w:val="single"/>
          </w:rPr>
          <w:t xml:space="preserve"> website</w:t>
        </w:r>
      </w:hyperlink>
      <w:r>
        <w:rPr>
          <w:rFonts w:ascii="Calibri" w:eastAsia="Calibri" w:hAnsi="Calibri" w:cs="Calibri"/>
        </w:rPr>
        <w:t xml:space="preserve">. Search for “SARS Cov2 spike glycoprotein” </w:t>
      </w:r>
    </w:p>
    <w:p w14:paraId="666F915F" w14:textId="77777777" w:rsidR="00936FBF" w:rsidRDefault="00000000">
      <w:pPr>
        <w:widowControl w:val="0"/>
        <w:numPr>
          <w:ilvl w:val="0"/>
          <w:numId w:val="1"/>
        </w:numPr>
        <w:spacing w:line="263" w:lineRule="auto"/>
        <w:ind w:right="379"/>
        <w:rPr>
          <w:rFonts w:ascii="Calibri" w:eastAsia="Calibri" w:hAnsi="Calibri" w:cs="Calibri"/>
        </w:rPr>
      </w:pPr>
      <w:r>
        <w:rPr>
          <w:rFonts w:ascii="Calibri" w:eastAsia="Calibri" w:hAnsi="Calibri" w:cs="Calibri"/>
        </w:rPr>
        <w:t xml:space="preserve">Click on entry Spike_SARS2 (Entry: P0DTC2)   </w:t>
      </w:r>
    </w:p>
    <w:p w14:paraId="6128E990" w14:textId="77777777" w:rsidR="00936FBF" w:rsidRDefault="00000000">
      <w:pPr>
        <w:widowControl w:val="0"/>
        <w:numPr>
          <w:ilvl w:val="0"/>
          <w:numId w:val="1"/>
        </w:numPr>
        <w:spacing w:line="263" w:lineRule="auto"/>
        <w:ind w:right="379"/>
        <w:rPr>
          <w:rFonts w:ascii="Calibri" w:eastAsia="Calibri" w:hAnsi="Calibri" w:cs="Calibri"/>
        </w:rPr>
      </w:pPr>
      <w:r>
        <w:rPr>
          <w:rFonts w:ascii="Calibri" w:eastAsia="Calibri" w:hAnsi="Calibri" w:cs="Calibri"/>
        </w:rPr>
        <w:t>Find the download prompt and download the “FASTA canonical” file.</w:t>
      </w:r>
    </w:p>
    <w:p w14:paraId="79952368" w14:textId="77777777" w:rsidR="00936FBF" w:rsidRDefault="00000000">
      <w:pPr>
        <w:widowControl w:val="0"/>
        <w:numPr>
          <w:ilvl w:val="0"/>
          <w:numId w:val="1"/>
        </w:numPr>
        <w:spacing w:line="263" w:lineRule="auto"/>
        <w:ind w:right="379"/>
        <w:rPr>
          <w:rFonts w:ascii="Calibri" w:eastAsia="Calibri" w:hAnsi="Calibri" w:cs="Calibri"/>
        </w:rPr>
      </w:pPr>
      <w:r>
        <w:rPr>
          <w:rFonts w:ascii="Calibri" w:eastAsia="Calibri" w:hAnsi="Calibri" w:cs="Calibri"/>
        </w:rPr>
        <w:t>Go to the</w:t>
      </w:r>
      <w:hyperlink r:id="rId11">
        <w:r>
          <w:rPr>
            <w:rFonts w:ascii="Calibri" w:eastAsia="Calibri" w:hAnsi="Calibri" w:cs="Calibri"/>
            <w:color w:val="1155CC"/>
            <w:u w:val="single"/>
          </w:rPr>
          <w:t xml:space="preserve"> IEDB home page</w:t>
        </w:r>
      </w:hyperlink>
      <w:r>
        <w:rPr>
          <w:rFonts w:ascii="Calibri" w:eastAsia="Calibri" w:hAnsi="Calibri" w:cs="Calibri"/>
        </w:rPr>
        <w:t xml:space="preserve">. </w:t>
      </w:r>
    </w:p>
    <w:p w14:paraId="697C54C6" w14:textId="77777777" w:rsidR="00936FBF" w:rsidRDefault="00000000">
      <w:pPr>
        <w:widowControl w:val="0"/>
        <w:numPr>
          <w:ilvl w:val="0"/>
          <w:numId w:val="1"/>
        </w:numPr>
        <w:spacing w:line="263" w:lineRule="auto"/>
        <w:ind w:right="379"/>
        <w:rPr>
          <w:rFonts w:ascii="Calibri" w:eastAsia="Calibri" w:hAnsi="Calibri" w:cs="Calibri"/>
        </w:rPr>
      </w:pPr>
      <w:r>
        <w:rPr>
          <w:rFonts w:ascii="Calibri" w:eastAsia="Calibri" w:hAnsi="Calibri" w:cs="Calibri"/>
        </w:rPr>
        <w:t>From the “Analysis Resources” drop-down menu on the top of the page choose “T-</w:t>
      </w:r>
      <w:proofErr w:type="gramStart"/>
      <w:r>
        <w:rPr>
          <w:rFonts w:ascii="Calibri" w:eastAsia="Calibri" w:hAnsi="Calibri" w:cs="Calibri"/>
        </w:rPr>
        <w:t>cell  epitope</w:t>
      </w:r>
      <w:proofErr w:type="gramEnd"/>
      <w:r>
        <w:rPr>
          <w:rFonts w:ascii="Calibri" w:eastAsia="Calibri" w:hAnsi="Calibri" w:cs="Calibri"/>
        </w:rPr>
        <w:t xml:space="preserve"> prediction tools”. </w:t>
      </w:r>
    </w:p>
    <w:p w14:paraId="61CD23D8" w14:textId="77777777" w:rsidR="00936FBF" w:rsidRDefault="00000000">
      <w:pPr>
        <w:widowControl w:val="0"/>
        <w:numPr>
          <w:ilvl w:val="0"/>
          <w:numId w:val="1"/>
        </w:numPr>
        <w:spacing w:after="200" w:line="263" w:lineRule="auto"/>
        <w:ind w:right="331"/>
        <w:rPr>
          <w:rFonts w:ascii="Calibri" w:eastAsia="Calibri" w:hAnsi="Calibri" w:cs="Calibri"/>
        </w:rPr>
      </w:pPr>
      <w:r>
        <w:rPr>
          <w:rFonts w:ascii="Calibri" w:eastAsia="Calibri" w:hAnsi="Calibri" w:cs="Calibri"/>
        </w:rPr>
        <w:t xml:space="preserve">here are several prediction tools available on IEDB. We will use </w:t>
      </w:r>
      <w:proofErr w:type="gramStart"/>
      <w:r>
        <w:rPr>
          <w:rFonts w:ascii="Calibri" w:eastAsia="Calibri" w:hAnsi="Calibri" w:cs="Calibri"/>
        </w:rPr>
        <w:t>a  combined</w:t>
      </w:r>
      <w:proofErr w:type="gramEnd"/>
      <w:r>
        <w:rPr>
          <w:rFonts w:ascii="Calibri" w:eastAsia="Calibri" w:hAnsi="Calibri" w:cs="Calibri"/>
        </w:rPr>
        <w:t xml:space="preserve"> tool to predict the entire antigen pathway and identify </w:t>
      </w:r>
      <w:r>
        <w:rPr>
          <w:rFonts w:ascii="Calibri" w:eastAsia="Calibri" w:hAnsi="Calibri" w:cs="Calibri"/>
          <w:b/>
        </w:rPr>
        <w:t>linear epitopes</w:t>
      </w:r>
      <w:r>
        <w:rPr>
          <w:rFonts w:ascii="Calibri" w:eastAsia="Calibri" w:hAnsi="Calibri" w:cs="Calibri"/>
        </w:rPr>
        <w:t xml:space="preserve"> on the antigen that may be candidates for vaccine development. </w:t>
      </w:r>
    </w:p>
    <w:p w14:paraId="15E4EF3C" w14:textId="77777777" w:rsidR="00936FBF" w:rsidRDefault="00000000">
      <w:pPr>
        <w:widowControl w:val="0"/>
        <w:spacing w:line="263" w:lineRule="auto"/>
        <w:ind w:left="720" w:right="331"/>
        <w:rPr>
          <w:rFonts w:ascii="Calibri" w:eastAsia="Calibri" w:hAnsi="Calibri" w:cs="Calibri"/>
          <w:highlight w:val="yellow"/>
        </w:rPr>
      </w:pPr>
      <w:r>
        <w:rPr>
          <w:rFonts w:ascii="Calibri" w:eastAsia="Calibri" w:hAnsi="Calibri" w:cs="Calibri"/>
        </w:rPr>
        <w:t xml:space="preserve">Choose the “Neural </w:t>
      </w:r>
      <w:proofErr w:type="gramStart"/>
      <w:r>
        <w:rPr>
          <w:rFonts w:ascii="Calibri" w:eastAsia="Calibri" w:hAnsi="Calibri" w:cs="Calibri"/>
        </w:rPr>
        <w:t>network based</w:t>
      </w:r>
      <w:proofErr w:type="gramEnd"/>
      <w:r>
        <w:rPr>
          <w:rFonts w:ascii="Calibri" w:eastAsia="Calibri" w:hAnsi="Calibri" w:cs="Calibri"/>
        </w:rPr>
        <w:t xml:space="preserve"> prediction of proteasomal cleavage sites”.</w:t>
      </w:r>
      <w:r>
        <w:rPr>
          <w:rFonts w:ascii="Calibri" w:eastAsia="Calibri" w:hAnsi="Calibri" w:cs="Calibri"/>
          <w:noProof/>
        </w:rPr>
        <w:drawing>
          <wp:inline distT="114300" distB="114300" distL="114300" distR="114300" wp14:anchorId="22F9A11E" wp14:editId="5DA6C673">
            <wp:extent cx="5943600" cy="385435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8716" b="41140"/>
                    <a:stretch>
                      <a:fillRect/>
                    </a:stretch>
                  </pic:blipFill>
                  <pic:spPr>
                    <a:xfrm>
                      <a:off x="0" y="0"/>
                      <a:ext cx="5943600" cy="3854359"/>
                    </a:xfrm>
                    <a:prstGeom prst="rect">
                      <a:avLst/>
                    </a:prstGeom>
                    <a:ln/>
                  </pic:spPr>
                </pic:pic>
              </a:graphicData>
            </a:graphic>
          </wp:inline>
        </w:drawing>
      </w:r>
    </w:p>
    <w:p w14:paraId="0ABA9B81" w14:textId="77777777" w:rsidR="00936FBF" w:rsidRDefault="00936FBF">
      <w:pPr>
        <w:widowControl w:val="0"/>
        <w:spacing w:line="263" w:lineRule="auto"/>
        <w:ind w:left="720" w:right="331"/>
        <w:rPr>
          <w:rFonts w:ascii="Calibri" w:eastAsia="Calibri" w:hAnsi="Calibri" w:cs="Calibri"/>
        </w:rPr>
      </w:pPr>
    </w:p>
    <w:p w14:paraId="33EC5B03" w14:textId="77777777" w:rsidR="00936FBF" w:rsidRDefault="00936FBF">
      <w:pPr>
        <w:widowControl w:val="0"/>
        <w:spacing w:line="263" w:lineRule="auto"/>
        <w:ind w:right="601"/>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FBF" w14:paraId="0F439FD4"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6C4FF2" w14:textId="77777777" w:rsidR="00936FBF" w:rsidRDefault="00000000">
            <w:pPr>
              <w:spacing w:line="240" w:lineRule="auto"/>
              <w:rPr>
                <w:rFonts w:ascii="Calibri" w:eastAsia="Calibri" w:hAnsi="Calibri" w:cs="Calibri"/>
                <w:sz w:val="24"/>
                <w:szCs w:val="24"/>
              </w:rPr>
            </w:pPr>
            <w:r>
              <w:rPr>
                <w:b/>
                <w:sz w:val="20"/>
                <w:szCs w:val="20"/>
              </w:rPr>
              <w:t>Figure 2.</w:t>
            </w:r>
            <w:r>
              <w:rPr>
                <w:sz w:val="20"/>
                <w:szCs w:val="20"/>
              </w:rPr>
              <w:t xml:space="preserve"> The IEDB Epitope analysis resource has utilized real data gathered in the database to create prediction tools for researchers. Within the T Cell epitope prediction </w:t>
            </w:r>
            <w:proofErr w:type="gramStart"/>
            <w:r>
              <w:rPr>
                <w:sz w:val="20"/>
                <w:szCs w:val="20"/>
              </w:rPr>
              <w:t>tools</w:t>
            </w:r>
            <w:proofErr w:type="gramEnd"/>
            <w:r>
              <w:rPr>
                <w:sz w:val="20"/>
                <w:szCs w:val="20"/>
              </w:rPr>
              <w:t xml:space="preserve"> we can find tools to analyze amino acid sequences to anticipate the probability these events will occur. </w:t>
            </w:r>
          </w:p>
        </w:tc>
      </w:tr>
    </w:tbl>
    <w:p w14:paraId="3057423C" w14:textId="77777777" w:rsidR="00936FBF" w:rsidRDefault="00936FBF">
      <w:pPr>
        <w:widowControl w:val="0"/>
        <w:spacing w:line="263" w:lineRule="auto"/>
        <w:ind w:right="601"/>
        <w:rPr>
          <w:rFonts w:ascii="Calibri" w:eastAsia="Calibri" w:hAnsi="Calibri" w:cs="Calibri"/>
          <w:sz w:val="24"/>
          <w:szCs w:val="24"/>
        </w:rPr>
      </w:pPr>
    </w:p>
    <w:p w14:paraId="73D1A46C" w14:textId="578DF5EB" w:rsidR="002C5E3F" w:rsidRDefault="002C5E3F">
      <w:pPr>
        <w:widowControl w:val="0"/>
        <w:spacing w:line="263" w:lineRule="auto"/>
        <w:ind w:right="601"/>
        <w:rPr>
          <w:rFonts w:ascii="Calibri" w:eastAsia="Calibri" w:hAnsi="Calibri" w:cs="Calibri"/>
          <w:sz w:val="24"/>
          <w:szCs w:val="24"/>
        </w:rPr>
      </w:pPr>
    </w:p>
    <w:p w14:paraId="7C201235" w14:textId="77777777" w:rsidR="00B23A8D" w:rsidRDefault="00B23A8D">
      <w:pPr>
        <w:widowControl w:val="0"/>
        <w:spacing w:line="263" w:lineRule="auto"/>
        <w:ind w:right="601"/>
        <w:rPr>
          <w:rFonts w:ascii="Calibri" w:eastAsia="Calibri" w:hAnsi="Calibri" w:cs="Calibri"/>
          <w:sz w:val="24"/>
          <w:szCs w:val="24"/>
        </w:rPr>
      </w:pPr>
    </w:p>
    <w:p w14:paraId="4F0182F6" w14:textId="77777777" w:rsidR="00936FBF" w:rsidRDefault="00000000">
      <w:pPr>
        <w:numPr>
          <w:ilvl w:val="0"/>
          <w:numId w:val="1"/>
        </w:numPr>
      </w:pPr>
      <w:r>
        <w:t>First choose the Prediction method: “</w:t>
      </w:r>
      <w:proofErr w:type="spellStart"/>
      <w:r>
        <w:t>NetChop</w:t>
      </w:r>
      <w:proofErr w:type="spellEnd"/>
      <w:r>
        <w:t>”</w:t>
      </w:r>
    </w:p>
    <w:p w14:paraId="080A0750" w14:textId="77777777" w:rsidR="00936FBF" w:rsidRDefault="00000000">
      <w:pPr>
        <w:numPr>
          <w:ilvl w:val="0"/>
          <w:numId w:val="1"/>
        </w:numPr>
      </w:pPr>
      <w:r>
        <w:t>Insert the protein (FASTA) sequence. Leave the parameters as the default selections.</w:t>
      </w:r>
    </w:p>
    <w:p w14:paraId="03C749C7" w14:textId="77777777" w:rsidR="00936FBF" w:rsidRDefault="00000000">
      <w:pPr>
        <w:widowControl w:val="0"/>
        <w:spacing w:line="243" w:lineRule="auto"/>
        <w:ind w:left="720" w:right="436"/>
        <w:rPr>
          <w:rFonts w:ascii="Calibri" w:eastAsia="Calibri" w:hAnsi="Calibri" w:cs="Calibri"/>
          <w:color w:val="222222"/>
          <w:sz w:val="24"/>
          <w:szCs w:val="24"/>
          <w:highlight w:val="white"/>
        </w:rPr>
      </w:pPr>
      <w:r>
        <w:rPr>
          <w:rFonts w:ascii="Calibri" w:eastAsia="Calibri" w:hAnsi="Calibri" w:cs="Calibri"/>
          <w:noProof/>
          <w:color w:val="222222"/>
          <w:sz w:val="24"/>
          <w:szCs w:val="24"/>
          <w:highlight w:val="white"/>
        </w:rPr>
        <w:drawing>
          <wp:inline distT="114300" distB="114300" distL="114300" distR="114300" wp14:anchorId="62181FB6" wp14:editId="52858593">
            <wp:extent cx="5386388" cy="453181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11758" b="23172"/>
                    <a:stretch>
                      <a:fillRect/>
                    </a:stretch>
                  </pic:blipFill>
                  <pic:spPr>
                    <a:xfrm>
                      <a:off x="0" y="0"/>
                      <a:ext cx="5386388" cy="4531816"/>
                    </a:xfrm>
                    <a:prstGeom prst="rect">
                      <a:avLst/>
                    </a:prstGeom>
                    <a:ln/>
                  </pic:spPr>
                </pic:pic>
              </a:graphicData>
            </a:graphic>
          </wp:inline>
        </w:drawing>
      </w:r>
    </w:p>
    <w:p w14:paraId="0F66163C" w14:textId="77777777" w:rsidR="00936FBF" w:rsidRDefault="00936FBF">
      <w:pPr>
        <w:widowControl w:val="0"/>
        <w:spacing w:line="243" w:lineRule="auto"/>
        <w:ind w:left="720" w:right="436"/>
        <w:rPr>
          <w:rFonts w:ascii="Calibri" w:eastAsia="Calibri" w:hAnsi="Calibri" w:cs="Calibri"/>
          <w:color w:val="222222"/>
          <w:sz w:val="24"/>
          <w:szCs w:val="24"/>
          <w:highlight w:val="white"/>
        </w:rPr>
      </w:pPr>
    </w:p>
    <w:p w14:paraId="5A6FC573" w14:textId="77777777" w:rsidR="00936FBF" w:rsidRDefault="00000000">
      <w:pPr>
        <w:spacing w:line="240" w:lineRule="auto"/>
        <w:rPr>
          <w:rFonts w:ascii="Calibri" w:eastAsia="Calibri" w:hAnsi="Calibri" w:cs="Calibri"/>
          <w:sz w:val="20"/>
          <w:szCs w:val="20"/>
          <w:highlight w:val="white"/>
        </w:rPr>
      </w:pPr>
      <w:r>
        <w:rPr>
          <w:rFonts w:ascii="Calibri" w:eastAsia="Calibri" w:hAnsi="Calibri" w:cs="Calibri"/>
          <w:sz w:val="20"/>
          <w:szCs w:val="20"/>
        </w:rPr>
        <w:t xml:space="preserve"> </w:t>
      </w:r>
      <w:r>
        <w:rPr>
          <w:rFonts w:ascii="Calibri" w:eastAsia="Calibri" w:hAnsi="Calibri" w:cs="Calibri"/>
          <w:b/>
          <w:sz w:val="20"/>
          <w:szCs w:val="20"/>
          <w:highlight w:val="white"/>
        </w:rPr>
        <w:t xml:space="preserve">Figure 3. </w:t>
      </w:r>
      <w:r>
        <w:rPr>
          <w:rFonts w:ascii="Calibri" w:eastAsia="Calibri" w:hAnsi="Calibri" w:cs="Calibri"/>
          <w:sz w:val="20"/>
          <w:szCs w:val="20"/>
          <w:highlight w:val="white"/>
        </w:rPr>
        <w:t>Predicting proteasomal cleavage prediction of SARS-CoV2 Spike Glycoprotein (P0DTC2). The amino acids shown in green are events that the user indicates passes the criteria for the percent likelihood a successful cleavage will occur.</w:t>
      </w:r>
    </w:p>
    <w:p w14:paraId="0CF6BBD3" w14:textId="77777777" w:rsidR="00936FBF" w:rsidRDefault="00936FBF">
      <w:pPr>
        <w:spacing w:line="240" w:lineRule="auto"/>
        <w:rPr>
          <w:rFonts w:ascii="Roboto" w:eastAsia="Roboto" w:hAnsi="Roboto" w:cs="Roboto"/>
          <w:sz w:val="21"/>
          <w:szCs w:val="21"/>
          <w:highlight w:val="white"/>
        </w:rPr>
      </w:pPr>
    </w:p>
    <w:p w14:paraId="70904878" w14:textId="77777777" w:rsidR="00936FBF" w:rsidRDefault="00000000">
      <w:pPr>
        <w:widowControl w:val="0"/>
        <w:numPr>
          <w:ilvl w:val="0"/>
          <w:numId w:val="1"/>
        </w:numPr>
        <w:spacing w:after="200" w:line="243" w:lineRule="auto"/>
        <w:rPr>
          <w:rFonts w:ascii="Calibri" w:eastAsia="Calibri" w:hAnsi="Calibri" w:cs="Calibri"/>
        </w:rPr>
      </w:pPr>
      <w:r>
        <w:rPr>
          <w:rFonts w:ascii="Calibri" w:eastAsia="Calibri" w:hAnsi="Calibri" w:cs="Calibri"/>
        </w:rPr>
        <w:t>Take a quick look at the chart. The X-axis represents the positions of the protein’s amino acid residues. The peaks represent the likelihood that the protein is cleaved at that position by the proteolytic activity of the proteasome. The green represents sites that are more likely to be cleaved whereas pink means the positions that are less likely to be cleaved. You can play with the threshold number and see how the chart changes.</w:t>
      </w:r>
    </w:p>
    <w:p w14:paraId="6A3913FC" w14:textId="77777777" w:rsidR="00936FBF" w:rsidRDefault="00936FBF">
      <w:pPr>
        <w:widowControl w:val="0"/>
        <w:spacing w:after="200" w:line="243" w:lineRule="auto"/>
        <w:rPr>
          <w:rFonts w:ascii="Calibri" w:eastAsia="Calibri" w:hAnsi="Calibri" w:cs="Calibri"/>
          <w:color w:val="A64D79"/>
          <w:sz w:val="24"/>
          <w:szCs w:val="24"/>
        </w:rPr>
      </w:pPr>
    </w:p>
    <w:p w14:paraId="2AC09612" w14:textId="77777777" w:rsidR="00936FBF" w:rsidRDefault="00936FBF">
      <w:pPr>
        <w:widowControl w:val="0"/>
        <w:spacing w:after="200" w:line="243" w:lineRule="auto"/>
        <w:rPr>
          <w:rFonts w:ascii="Calibri" w:eastAsia="Calibri" w:hAnsi="Calibri" w:cs="Calibri"/>
          <w:color w:val="A64D79"/>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FBF" w14:paraId="668033CC"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757B9D" w14:textId="77777777" w:rsidR="00936FBF" w:rsidRDefault="00936FBF">
            <w:pPr>
              <w:spacing w:line="240" w:lineRule="auto"/>
              <w:rPr>
                <w:rFonts w:ascii="Calibri" w:eastAsia="Calibri" w:hAnsi="Calibri" w:cs="Calibri"/>
                <w:color w:val="A64D79"/>
                <w:sz w:val="24"/>
                <w:szCs w:val="24"/>
              </w:rPr>
            </w:pPr>
          </w:p>
          <w:p w14:paraId="3949FD1E" w14:textId="62A7FBD8" w:rsidR="00B23A8D" w:rsidRDefault="00B23A8D">
            <w:pPr>
              <w:spacing w:line="240" w:lineRule="auto"/>
              <w:rPr>
                <w:rFonts w:ascii="Calibri" w:eastAsia="Calibri" w:hAnsi="Calibri" w:cs="Calibri"/>
                <w:color w:val="A64D79"/>
                <w:sz w:val="24"/>
                <w:szCs w:val="24"/>
              </w:rPr>
            </w:pPr>
          </w:p>
        </w:tc>
      </w:tr>
    </w:tbl>
    <w:p w14:paraId="1EEAC39B" w14:textId="639BAAC6" w:rsidR="00936FBF" w:rsidRPr="002C5E3F" w:rsidRDefault="00000000">
      <w:pPr>
        <w:widowControl w:val="0"/>
        <w:spacing w:after="200" w:line="243" w:lineRule="auto"/>
        <w:rPr>
          <w:rFonts w:ascii="Calibri" w:eastAsia="Calibri" w:hAnsi="Calibri" w:cs="Calibri"/>
          <w:b/>
          <w:sz w:val="26"/>
          <w:szCs w:val="26"/>
        </w:rPr>
      </w:pPr>
      <w:r w:rsidRPr="002C5E3F">
        <w:rPr>
          <w:rFonts w:ascii="Calibri" w:eastAsia="Calibri" w:hAnsi="Calibri" w:cs="Calibri"/>
          <w:b/>
          <w:sz w:val="26"/>
          <w:szCs w:val="26"/>
        </w:rPr>
        <w:lastRenderedPageBreak/>
        <w:t>Apply Your Knowledge</w:t>
      </w:r>
    </w:p>
    <w:p w14:paraId="2F5EE694" w14:textId="77777777" w:rsidR="00936FBF" w:rsidRDefault="00000000">
      <w:pPr>
        <w:widowControl w:val="0"/>
        <w:spacing w:after="200" w:line="243" w:lineRule="auto"/>
        <w:rPr>
          <w:rFonts w:ascii="Calibri" w:eastAsia="Calibri" w:hAnsi="Calibri" w:cs="Calibri"/>
        </w:rPr>
      </w:pPr>
      <w:r>
        <w:rPr>
          <w:rFonts w:ascii="Calibri" w:eastAsia="Calibri" w:hAnsi="Calibri" w:cs="Calibri"/>
          <w:color w:val="A64D79"/>
        </w:rPr>
        <w:t xml:space="preserve">Input spike glycoprotein FASTA sequence P0DTC2: </w:t>
      </w:r>
    </w:p>
    <w:tbl>
      <w:tblPr>
        <w:tblStyle w:val="aa"/>
        <w:tblW w:w="925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5"/>
      </w:tblGrid>
      <w:tr w:rsidR="00936FBF" w14:paraId="03890062" w14:textId="77777777">
        <w:tc>
          <w:tcPr>
            <w:tcW w:w="9255" w:type="dxa"/>
            <w:shd w:val="clear" w:color="auto" w:fill="auto"/>
            <w:tcMar>
              <w:top w:w="100" w:type="dxa"/>
              <w:left w:w="100" w:type="dxa"/>
              <w:bottom w:w="100" w:type="dxa"/>
              <w:right w:w="100" w:type="dxa"/>
            </w:tcMar>
          </w:tcPr>
          <w:p w14:paraId="66C08A5D" w14:textId="77777777" w:rsidR="00936FBF" w:rsidRDefault="00936FBF">
            <w:pPr>
              <w:widowControl w:val="0"/>
              <w:pBdr>
                <w:top w:val="nil"/>
                <w:left w:val="nil"/>
                <w:bottom w:val="nil"/>
                <w:right w:val="nil"/>
                <w:between w:val="nil"/>
              </w:pBdr>
              <w:spacing w:line="240" w:lineRule="auto"/>
              <w:rPr>
                <w:rFonts w:ascii="Calibri" w:eastAsia="Calibri" w:hAnsi="Calibri" w:cs="Calibri"/>
                <w:sz w:val="24"/>
                <w:szCs w:val="24"/>
              </w:rPr>
            </w:pPr>
          </w:p>
        </w:tc>
      </w:tr>
    </w:tbl>
    <w:p w14:paraId="39E066F9" w14:textId="77777777" w:rsidR="00936FBF" w:rsidRDefault="00936FBF">
      <w:pPr>
        <w:widowControl w:val="0"/>
        <w:spacing w:after="200" w:line="243" w:lineRule="auto"/>
        <w:rPr>
          <w:rFonts w:ascii="Calibri" w:eastAsia="Calibri" w:hAnsi="Calibri" w:cs="Calibri"/>
          <w:sz w:val="24"/>
          <w:szCs w:val="24"/>
        </w:rPr>
      </w:pPr>
    </w:p>
    <w:tbl>
      <w:tblPr>
        <w:tblStyle w:val="ab"/>
        <w:tblW w:w="925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620"/>
      </w:tblGrid>
      <w:tr w:rsidR="00936FBF" w14:paraId="09F3159D" w14:textId="77777777">
        <w:trPr>
          <w:trHeight w:val="315"/>
        </w:trPr>
        <w:tc>
          <w:tcPr>
            <w:tcW w:w="4635" w:type="dxa"/>
            <w:shd w:val="clear" w:color="auto" w:fill="FBE4D5"/>
            <w:tcMar>
              <w:top w:w="100" w:type="dxa"/>
              <w:left w:w="100" w:type="dxa"/>
              <w:bottom w:w="100" w:type="dxa"/>
              <w:right w:w="100" w:type="dxa"/>
            </w:tcMar>
          </w:tcPr>
          <w:p w14:paraId="70DB4136" w14:textId="77777777" w:rsidR="00936FBF" w:rsidRDefault="00000000">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Threshold value</w:t>
            </w:r>
          </w:p>
        </w:tc>
        <w:tc>
          <w:tcPr>
            <w:tcW w:w="4620" w:type="dxa"/>
            <w:shd w:val="clear" w:color="auto" w:fill="FBE4D5"/>
            <w:tcMar>
              <w:top w:w="100" w:type="dxa"/>
              <w:left w:w="100" w:type="dxa"/>
              <w:bottom w:w="100" w:type="dxa"/>
              <w:right w:w="100" w:type="dxa"/>
            </w:tcMar>
          </w:tcPr>
          <w:p w14:paraId="26619DE5" w14:textId="77777777" w:rsidR="00936FBF" w:rsidRDefault="00000000">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How many positive events are there?</w:t>
            </w:r>
          </w:p>
        </w:tc>
      </w:tr>
      <w:tr w:rsidR="00936FBF" w14:paraId="10244D70" w14:textId="77777777" w:rsidTr="002C5E3F">
        <w:trPr>
          <w:trHeight w:val="249"/>
        </w:trPr>
        <w:tc>
          <w:tcPr>
            <w:tcW w:w="4635" w:type="dxa"/>
            <w:shd w:val="clear" w:color="auto" w:fill="auto"/>
            <w:tcMar>
              <w:top w:w="100" w:type="dxa"/>
              <w:left w:w="100" w:type="dxa"/>
              <w:bottom w:w="100" w:type="dxa"/>
              <w:right w:w="100" w:type="dxa"/>
            </w:tcMar>
          </w:tcPr>
          <w:p w14:paraId="4D90DD15" w14:textId="77777777" w:rsidR="00936FBF" w:rsidRDefault="00000000">
            <w:pPr>
              <w:widowControl w:val="0"/>
              <w:pBdr>
                <w:top w:val="nil"/>
                <w:left w:val="nil"/>
                <w:bottom w:val="nil"/>
                <w:right w:val="nil"/>
                <w:between w:val="nil"/>
              </w:pBdr>
              <w:spacing w:line="240" w:lineRule="auto"/>
              <w:jc w:val="center"/>
              <w:rPr>
                <w:rFonts w:ascii="Calibri" w:eastAsia="Calibri" w:hAnsi="Calibri" w:cs="Calibri"/>
                <w:color w:val="A64D79"/>
                <w:sz w:val="24"/>
                <w:szCs w:val="24"/>
              </w:rPr>
            </w:pPr>
            <w:r>
              <w:rPr>
                <w:rFonts w:ascii="Calibri" w:eastAsia="Calibri" w:hAnsi="Calibri" w:cs="Calibri"/>
                <w:color w:val="A64D79"/>
                <w:sz w:val="24"/>
                <w:szCs w:val="24"/>
              </w:rPr>
              <w:t>0.5 (default)</w:t>
            </w:r>
          </w:p>
        </w:tc>
        <w:tc>
          <w:tcPr>
            <w:tcW w:w="4620" w:type="dxa"/>
            <w:shd w:val="clear" w:color="auto" w:fill="auto"/>
            <w:tcMar>
              <w:top w:w="100" w:type="dxa"/>
              <w:left w:w="100" w:type="dxa"/>
              <w:bottom w:w="100" w:type="dxa"/>
              <w:right w:w="100" w:type="dxa"/>
            </w:tcMar>
          </w:tcPr>
          <w:p w14:paraId="497E5F8C" w14:textId="77777777" w:rsidR="00936FBF" w:rsidRDefault="00936FBF">
            <w:pPr>
              <w:widowControl w:val="0"/>
              <w:pBdr>
                <w:top w:val="nil"/>
                <w:left w:val="nil"/>
                <w:bottom w:val="nil"/>
                <w:right w:val="nil"/>
                <w:between w:val="nil"/>
              </w:pBdr>
              <w:spacing w:line="240" w:lineRule="auto"/>
              <w:rPr>
                <w:rFonts w:ascii="Calibri" w:eastAsia="Calibri" w:hAnsi="Calibri" w:cs="Calibri"/>
                <w:color w:val="A64D79"/>
                <w:sz w:val="24"/>
                <w:szCs w:val="24"/>
              </w:rPr>
            </w:pPr>
          </w:p>
        </w:tc>
      </w:tr>
      <w:tr w:rsidR="00936FBF" w14:paraId="7418DE50" w14:textId="77777777" w:rsidTr="002C5E3F">
        <w:trPr>
          <w:trHeight w:val="177"/>
        </w:trPr>
        <w:tc>
          <w:tcPr>
            <w:tcW w:w="4635" w:type="dxa"/>
            <w:shd w:val="clear" w:color="auto" w:fill="auto"/>
            <w:tcMar>
              <w:top w:w="100" w:type="dxa"/>
              <w:left w:w="100" w:type="dxa"/>
              <w:bottom w:w="100" w:type="dxa"/>
              <w:right w:w="100" w:type="dxa"/>
            </w:tcMar>
          </w:tcPr>
          <w:p w14:paraId="5BBB716A" w14:textId="77777777" w:rsidR="00936FBF" w:rsidRDefault="00000000">
            <w:pPr>
              <w:widowControl w:val="0"/>
              <w:pBdr>
                <w:top w:val="nil"/>
                <w:left w:val="nil"/>
                <w:bottom w:val="nil"/>
                <w:right w:val="nil"/>
                <w:between w:val="nil"/>
              </w:pBdr>
              <w:spacing w:line="240" w:lineRule="auto"/>
              <w:jc w:val="center"/>
              <w:rPr>
                <w:rFonts w:ascii="Calibri" w:eastAsia="Calibri" w:hAnsi="Calibri" w:cs="Calibri"/>
                <w:color w:val="A64D79"/>
                <w:sz w:val="24"/>
                <w:szCs w:val="24"/>
              </w:rPr>
            </w:pPr>
            <w:r>
              <w:rPr>
                <w:rFonts w:ascii="Calibri" w:eastAsia="Calibri" w:hAnsi="Calibri" w:cs="Calibri"/>
                <w:color w:val="A64D79"/>
                <w:sz w:val="24"/>
                <w:szCs w:val="24"/>
              </w:rPr>
              <w:t>0.9</w:t>
            </w:r>
          </w:p>
        </w:tc>
        <w:tc>
          <w:tcPr>
            <w:tcW w:w="4620" w:type="dxa"/>
            <w:shd w:val="clear" w:color="auto" w:fill="auto"/>
            <w:tcMar>
              <w:top w:w="100" w:type="dxa"/>
              <w:left w:w="100" w:type="dxa"/>
              <w:bottom w:w="100" w:type="dxa"/>
              <w:right w:w="100" w:type="dxa"/>
            </w:tcMar>
          </w:tcPr>
          <w:p w14:paraId="40FAE465" w14:textId="77777777" w:rsidR="00936FBF" w:rsidRDefault="00936FBF">
            <w:pPr>
              <w:widowControl w:val="0"/>
              <w:pBdr>
                <w:top w:val="nil"/>
                <w:left w:val="nil"/>
                <w:bottom w:val="nil"/>
                <w:right w:val="nil"/>
                <w:between w:val="nil"/>
              </w:pBdr>
              <w:spacing w:line="240" w:lineRule="auto"/>
              <w:rPr>
                <w:rFonts w:ascii="Calibri" w:eastAsia="Calibri" w:hAnsi="Calibri" w:cs="Calibri"/>
                <w:color w:val="A64D79"/>
                <w:sz w:val="24"/>
                <w:szCs w:val="24"/>
              </w:rPr>
            </w:pPr>
          </w:p>
        </w:tc>
      </w:tr>
      <w:tr w:rsidR="00936FBF" w14:paraId="1C8AF362" w14:textId="77777777" w:rsidTr="002C5E3F">
        <w:trPr>
          <w:trHeight w:val="204"/>
        </w:trPr>
        <w:tc>
          <w:tcPr>
            <w:tcW w:w="4635" w:type="dxa"/>
            <w:shd w:val="clear" w:color="auto" w:fill="auto"/>
            <w:tcMar>
              <w:top w:w="100" w:type="dxa"/>
              <w:left w:w="100" w:type="dxa"/>
              <w:bottom w:w="100" w:type="dxa"/>
              <w:right w:w="100" w:type="dxa"/>
            </w:tcMar>
          </w:tcPr>
          <w:p w14:paraId="7915AB47" w14:textId="77777777" w:rsidR="00936FBF" w:rsidRDefault="00000000">
            <w:pPr>
              <w:widowControl w:val="0"/>
              <w:pBdr>
                <w:top w:val="nil"/>
                <w:left w:val="nil"/>
                <w:bottom w:val="nil"/>
                <w:right w:val="nil"/>
                <w:between w:val="nil"/>
              </w:pBdr>
              <w:spacing w:line="240" w:lineRule="auto"/>
              <w:jc w:val="center"/>
              <w:rPr>
                <w:rFonts w:ascii="Calibri" w:eastAsia="Calibri" w:hAnsi="Calibri" w:cs="Calibri"/>
                <w:color w:val="A64D79"/>
                <w:sz w:val="24"/>
                <w:szCs w:val="24"/>
              </w:rPr>
            </w:pPr>
            <w:r>
              <w:rPr>
                <w:rFonts w:ascii="Calibri" w:eastAsia="Calibri" w:hAnsi="Calibri" w:cs="Calibri"/>
                <w:color w:val="A64D79"/>
                <w:sz w:val="24"/>
                <w:szCs w:val="24"/>
              </w:rPr>
              <w:t>0.2</w:t>
            </w:r>
          </w:p>
        </w:tc>
        <w:tc>
          <w:tcPr>
            <w:tcW w:w="4620" w:type="dxa"/>
            <w:shd w:val="clear" w:color="auto" w:fill="auto"/>
            <w:tcMar>
              <w:top w:w="100" w:type="dxa"/>
              <w:left w:w="100" w:type="dxa"/>
              <w:bottom w:w="100" w:type="dxa"/>
              <w:right w:w="100" w:type="dxa"/>
            </w:tcMar>
          </w:tcPr>
          <w:p w14:paraId="4F58CBB0" w14:textId="77777777" w:rsidR="00936FBF" w:rsidRDefault="00936FBF">
            <w:pPr>
              <w:widowControl w:val="0"/>
              <w:pBdr>
                <w:top w:val="nil"/>
                <w:left w:val="nil"/>
                <w:bottom w:val="nil"/>
                <w:right w:val="nil"/>
                <w:between w:val="nil"/>
              </w:pBdr>
              <w:spacing w:line="240" w:lineRule="auto"/>
              <w:rPr>
                <w:rFonts w:ascii="Calibri" w:eastAsia="Calibri" w:hAnsi="Calibri" w:cs="Calibri"/>
                <w:color w:val="A64D79"/>
                <w:sz w:val="24"/>
                <w:szCs w:val="24"/>
              </w:rPr>
            </w:pPr>
          </w:p>
        </w:tc>
      </w:tr>
    </w:tbl>
    <w:p w14:paraId="5253E5DD" w14:textId="77777777" w:rsidR="002C5E3F" w:rsidRDefault="002C5E3F">
      <w:pPr>
        <w:widowControl w:val="0"/>
        <w:spacing w:after="200" w:line="243" w:lineRule="auto"/>
        <w:rPr>
          <w:rFonts w:ascii="Calibri" w:eastAsia="Calibri" w:hAnsi="Calibri" w:cs="Calibri"/>
          <w:color w:val="A64D79"/>
          <w:sz w:val="24"/>
          <w:szCs w:val="24"/>
        </w:rPr>
      </w:pPr>
    </w:p>
    <w:p w14:paraId="544803FE" w14:textId="70A3ADEA" w:rsidR="00936FBF" w:rsidRDefault="00000000">
      <w:pPr>
        <w:widowControl w:val="0"/>
        <w:spacing w:after="200" w:line="243" w:lineRule="auto"/>
        <w:rPr>
          <w:rFonts w:ascii="Calibri" w:eastAsia="Calibri" w:hAnsi="Calibri" w:cs="Calibri"/>
          <w:color w:val="A64D79"/>
        </w:rPr>
      </w:pPr>
      <w:r>
        <w:rPr>
          <w:rFonts w:ascii="Calibri" w:eastAsia="Calibri" w:hAnsi="Calibri" w:cs="Calibri"/>
          <w:color w:val="A64D79"/>
        </w:rPr>
        <w:t>Q7. Assess how the changes in threshold can influence protein cleavage predictions?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6FBF" w14:paraId="1F04E799" w14:textId="77777777">
        <w:tc>
          <w:tcPr>
            <w:tcW w:w="9360" w:type="dxa"/>
            <w:shd w:val="clear" w:color="auto" w:fill="auto"/>
            <w:tcMar>
              <w:top w:w="100" w:type="dxa"/>
              <w:left w:w="100" w:type="dxa"/>
              <w:bottom w:w="100" w:type="dxa"/>
              <w:right w:w="100" w:type="dxa"/>
            </w:tcMar>
          </w:tcPr>
          <w:p w14:paraId="69CE00E3" w14:textId="77777777" w:rsidR="00936FBF" w:rsidRDefault="00936FBF">
            <w:pPr>
              <w:widowControl w:val="0"/>
              <w:pBdr>
                <w:top w:val="nil"/>
                <w:left w:val="nil"/>
                <w:bottom w:val="nil"/>
                <w:right w:val="nil"/>
                <w:between w:val="nil"/>
              </w:pBdr>
              <w:spacing w:line="240" w:lineRule="auto"/>
              <w:rPr>
                <w:rFonts w:ascii="Calibri" w:eastAsia="Calibri" w:hAnsi="Calibri" w:cs="Calibri"/>
                <w:color w:val="A64D79"/>
                <w:sz w:val="24"/>
                <w:szCs w:val="24"/>
              </w:rPr>
            </w:pPr>
          </w:p>
        </w:tc>
      </w:tr>
    </w:tbl>
    <w:p w14:paraId="1A3597F9" w14:textId="77777777" w:rsidR="00936FBF" w:rsidRDefault="00936FBF">
      <w:pPr>
        <w:widowControl w:val="0"/>
        <w:spacing w:after="200" w:line="243" w:lineRule="auto"/>
        <w:rPr>
          <w:rFonts w:ascii="Calibri" w:eastAsia="Calibri" w:hAnsi="Calibri" w:cs="Calibri"/>
          <w:color w:val="A64D79"/>
          <w:sz w:val="24"/>
          <w:szCs w:val="24"/>
        </w:rPr>
      </w:pPr>
    </w:p>
    <w:p w14:paraId="1513F890" w14:textId="77777777" w:rsidR="00936FBF" w:rsidRDefault="00000000">
      <w:pPr>
        <w:widowControl w:val="0"/>
        <w:spacing w:before="200" w:line="243" w:lineRule="auto"/>
        <w:rPr>
          <w:rFonts w:ascii="Calibri" w:eastAsia="Calibri" w:hAnsi="Calibri" w:cs="Calibri"/>
          <w:color w:val="A64D79"/>
        </w:rPr>
      </w:pPr>
      <w:r>
        <w:rPr>
          <w:rFonts w:ascii="Calibri" w:eastAsia="Calibri" w:hAnsi="Calibri" w:cs="Calibri"/>
          <w:color w:val="A64D79"/>
        </w:rPr>
        <w:t xml:space="preserve">Q8. Select a threshold value that will yield only high cleave prediction values (&gt;95%). Find two cleavage events with an appropriate </w:t>
      </w:r>
      <w:proofErr w:type="gramStart"/>
      <w:r>
        <w:rPr>
          <w:rFonts w:ascii="Calibri" w:eastAsia="Calibri" w:hAnsi="Calibri" w:cs="Calibri"/>
          <w:color w:val="A64D79"/>
        </w:rPr>
        <w:t>amount</w:t>
      </w:r>
      <w:proofErr w:type="gramEnd"/>
      <w:r>
        <w:rPr>
          <w:rFonts w:ascii="Calibri" w:eastAsia="Calibri" w:hAnsi="Calibri" w:cs="Calibri"/>
          <w:color w:val="A64D79"/>
        </w:rPr>
        <w:t xml:space="preserve"> of amino acids to create a peptide and report your findings in the table below and take a screen capture of the excerpt of the table view sequence.</w:t>
      </w:r>
    </w:p>
    <w:p w14:paraId="3A335C44" w14:textId="77777777" w:rsidR="00936FBF" w:rsidRDefault="00000000">
      <w:pPr>
        <w:widowControl w:val="0"/>
        <w:spacing w:before="200" w:line="243" w:lineRule="auto"/>
        <w:rPr>
          <w:rFonts w:ascii="Calibri" w:eastAsia="Calibri" w:hAnsi="Calibri" w:cs="Calibri"/>
          <w:b/>
          <w:color w:val="A64D79"/>
        </w:rPr>
      </w:pPr>
      <w:r>
        <w:rPr>
          <w:rFonts w:ascii="Calibri" w:eastAsia="Calibri" w:hAnsi="Calibri" w:cs="Calibri"/>
          <w:color w:val="A64D79"/>
          <w:highlight w:val="white"/>
        </w:rPr>
        <w:t>Do you think this peptide is a good candidate for designing a vaccine for the virus? Explain your answer.</w:t>
      </w:r>
      <w:r>
        <w:rPr>
          <w:rFonts w:ascii="Calibri" w:eastAsia="Calibri" w:hAnsi="Calibri" w:cs="Calibri"/>
          <w:color w:val="A64D79"/>
        </w:rPr>
        <w:t xml:space="preserve"> </w:t>
      </w:r>
    </w:p>
    <w:p w14:paraId="5F678022" w14:textId="77777777" w:rsidR="00936FBF" w:rsidRDefault="00936FBF">
      <w:pPr>
        <w:widowControl w:val="0"/>
        <w:spacing w:line="243" w:lineRule="auto"/>
        <w:ind w:right="436"/>
        <w:rPr>
          <w:rFonts w:ascii="Calibri" w:eastAsia="Calibri" w:hAnsi="Calibri" w:cs="Calibri"/>
          <w:sz w:val="24"/>
          <w:szCs w:val="24"/>
        </w:rPr>
      </w:pPr>
    </w:p>
    <w:tbl>
      <w:tblPr>
        <w:tblStyle w:val="ad"/>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936FBF" w14:paraId="6C7F3103" w14:textId="77777777">
        <w:tc>
          <w:tcPr>
            <w:tcW w:w="9345" w:type="dxa"/>
            <w:shd w:val="clear" w:color="auto" w:fill="auto"/>
            <w:tcMar>
              <w:top w:w="100" w:type="dxa"/>
              <w:left w:w="100" w:type="dxa"/>
              <w:bottom w:w="100" w:type="dxa"/>
              <w:right w:w="100" w:type="dxa"/>
            </w:tcMar>
          </w:tcPr>
          <w:p w14:paraId="20AB739E" w14:textId="77777777" w:rsidR="00936FBF" w:rsidRDefault="00936FBF">
            <w:pPr>
              <w:widowControl w:val="0"/>
              <w:pBdr>
                <w:top w:val="nil"/>
                <w:left w:val="nil"/>
                <w:bottom w:val="nil"/>
                <w:right w:val="nil"/>
                <w:between w:val="nil"/>
              </w:pBdr>
              <w:spacing w:line="240" w:lineRule="auto"/>
              <w:rPr>
                <w:rFonts w:ascii="Calibri" w:eastAsia="Calibri" w:hAnsi="Calibri" w:cs="Calibri"/>
                <w:sz w:val="24"/>
                <w:szCs w:val="24"/>
              </w:rPr>
            </w:pPr>
          </w:p>
        </w:tc>
      </w:tr>
    </w:tbl>
    <w:p w14:paraId="66883E44" w14:textId="77777777" w:rsidR="00936FBF" w:rsidRDefault="00936FBF">
      <w:pPr>
        <w:widowControl w:val="0"/>
        <w:spacing w:after="200" w:line="243" w:lineRule="auto"/>
        <w:rPr>
          <w:rFonts w:ascii="Calibri" w:eastAsia="Calibri" w:hAnsi="Calibri" w:cs="Calibri"/>
          <w:sz w:val="24"/>
          <w:szCs w:val="24"/>
        </w:rPr>
      </w:pPr>
    </w:p>
    <w:tbl>
      <w:tblPr>
        <w:tblStyle w:val="ae"/>
        <w:tblW w:w="9350" w:type="dxa"/>
        <w:tblBorders>
          <w:top w:val="nil"/>
          <w:left w:val="nil"/>
          <w:bottom w:val="nil"/>
          <w:right w:val="nil"/>
          <w:insideH w:val="nil"/>
          <w:insideV w:val="nil"/>
        </w:tblBorders>
        <w:tblLayout w:type="fixed"/>
        <w:tblLook w:val="0600" w:firstRow="0" w:lastRow="0" w:firstColumn="0" w:lastColumn="0" w:noHBand="1" w:noVBand="1"/>
      </w:tblPr>
      <w:tblGrid>
        <w:gridCol w:w="1636"/>
        <w:gridCol w:w="1755"/>
        <w:gridCol w:w="2202"/>
        <w:gridCol w:w="1800"/>
        <w:gridCol w:w="1957"/>
      </w:tblGrid>
      <w:tr w:rsidR="00936FBF" w14:paraId="1324FB67" w14:textId="77777777" w:rsidTr="002C5E3F">
        <w:trPr>
          <w:trHeight w:val="599"/>
          <w:tblHeader/>
        </w:trPr>
        <w:tc>
          <w:tcPr>
            <w:tcW w:w="1636" w:type="dxa"/>
            <w:tcBorders>
              <w:top w:val="single" w:sz="8" w:space="0" w:color="000000"/>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13C9B26A" w14:textId="77777777" w:rsidR="00936FBF" w:rsidRPr="002C5E3F" w:rsidRDefault="00000000">
            <w:pPr>
              <w:widowControl w:val="0"/>
              <w:spacing w:line="243" w:lineRule="auto"/>
              <w:jc w:val="center"/>
              <w:rPr>
                <w:rFonts w:ascii="Calibri" w:eastAsia="Calibri" w:hAnsi="Calibri" w:cs="Calibri"/>
                <w:b/>
              </w:rPr>
            </w:pPr>
            <w:r w:rsidRPr="002C5E3F">
              <w:rPr>
                <w:rFonts w:ascii="Calibri" w:eastAsia="Calibri" w:hAnsi="Calibri" w:cs="Calibri"/>
                <w:b/>
              </w:rPr>
              <w:t>Threshold Value</w:t>
            </w:r>
          </w:p>
        </w:tc>
        <w:tc>
          <w:tcPr>
            <w:tcW w:w="1755" w:type="dxa"/>
            <w:tcBorders>
              <w:top w:val="single" w:sz="8" w:space="0" w:color="000000"/>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3BCE3BB7" w14:textId="77777777" w:rsidR="00936FBF" w:rsidRPr="002C5E3F" w:rsidRDefault="00000000">
            <w:pPr>
              <w:widowControl w:val="0"/>
              <w:spacing w:line="243" w:lineRule="auto"/>
              <w:jc w:val="center"/>
              <w:rPr>
                <w:rFonts w:ascii="Calibri" w:eastAsia="Calibri" w:hAnsi="Calibri" w:cs="Calibri"/>
                <w:b/>
              </w:rPr>
            </w:pPr>
            <w:r w:rsidRPr="002C5E3F">
              <w:rPr>
                <w:rFonts w:ascii="Calibri" w:eastAsia="Calibri" w:hAnsi="Calibri" w:cs="Calibri"/>
                <w:b/>
              </w:rPr>
              <w:t>Peptide Sequence</w:t>
            </w:r>
          </w:p>
        </w:tc>
        <w:tc>
          <w:tcPr>
            <w:tcW w:w="2202"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71D59F96" w14:textId="77777777" w:rsidR="00936FBF" w:rsidRPr="002C5E3F" w:rsidRDefault="00000000">
            <w:pPr>
              <w:widowControl w:val="0"/>
              <w:spacing w:line="243" w:lineRule="auto"/>
              <w:jc w:val="center"/>
              <w:rPr>
                <w:rFonts w:ascii="Calibri" w:eastAsia="Calibri" w:hAnsi="Calibri" w:cs="Calibri"/>
                <w:b/>
              </w:rPr>
            </w:pPr>
            <w:r w:rsidRPr="002C5E3F">
              <w:rPr>
                <w:rFonts w:ascii="Calibri" w:eastAsia="Calibri" w:hAnsi="Calibri" w:cs="Calibri"/>
                <w:b/>
              </w:rPr>
              <w:t>Residue Position numbers</w:t>
            </w:r>
          </w:p>
        </w:tc>
        <w:tc>
          <w:tcPr>
            <w:tcW w:w="1800"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2B5841F8" w14:textId="77777777" w:rsidR="00936FBF" w:rsidRPr="002C5E3F" w:rsidRDefault="00000000">
            <w:pPr>
              <w:widowControl w:val="0"/>
              <w:spacing w:line="243" w:lineRule="auto"/>
              <w:jc w:val="center"/>
              <w:rPr>
                <w:rFonts w:ascii="Calibri" w:eastAsia="Calibri" w:hAnsi="Calibri" w:cs="Calibri"/>
                <w:b/>
              </w:rPr>
            </w:pPr>
            <w:r w:rsidRPr="002C5E3F">
              <w:rPr>
                <w:rFonts w:ascii="Calibri" w:eastAsia="Calibri" w:hAnsi="Calibri" w:cs="Calibri"/>
                <w:b/>
              </w:rPr>
              <w:t>Length (number of amino acids)</w:t>
            </w:r>
          </w:p>
        </w:tc>
        <w:tc>
          <w:tcPr>
            <w:tcW w:w="1957"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73E77FF6" w14:textId="77777777" w:rsidR="00936FBF" w:rsidRPr="002C5E3F" w:rsidRDefault="00000000">
            <w:pPr>
              <w:widowControl w:val="0"/>
              <w:spacing w:line="243" w:lineRule="auto"/>
              <w:jc w:val="center"/>
              <w:rPr>
                <w:rFonts w:ascii="Calibri" w:eastAsia="Calibri" w:hAnsi="Calibri" w:cs="Calibri"/>
                <w:b/>
              </w:rPr>
            </w:pPr>
            <w:r w:rsidRPr="002C5E3F">
              <w:rPr>
                <w:rFonts w:ascii="Calibri" w:eastAsia="Calibri" w:hAnsi="Calibri" w:cs="Calibri"/>
                <w:b/>
              </w:rPr>
              <w:t>Prediction score</w:t>
            </w:r>
          </w:p>
        </w:tc>
      </w:tr>
      <w:tr w:rsidR="00936FBF" w14:paraId="3D190BDE" w14:textId="77777777" w:rsidTr="002C5E3F">
        <w:trPr>
          <w:trHeight w:val="218"/>
        </w:trPr>
        <w:tc>
          <w:tcPr>
            <w:tcW w:w="1636"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CD5BCA" w14:textId="77777777" w:rsidR="00936FBF" w:rsidRDefault="00936FBF">
            <w:pPr>
              <w:widowControl w:val="0"/>
              <w:spacing w:line="243" w:lineRule="auto"/>
              <w:rPr>
                <w:rFonts w:ascii="Calibri" w:eastAsia="Calibri" w:hAnsi="Calibri" w:cs="Calibri"/>
                <w:sz w:val="24"/>
                <w:szCs w:val="24"/>
              </w:rPr>
            </w:pPr>
          </w:p>
        </w:tc>
        <w:tc>
          <w:tcPr>
            <w:tcW w:w="1755"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46FECB" w14:textId="77777777" w:rsidR="00936FBF" w:rsidRDefault="00000000">
            <w:pPr>
              <w:widowControl w:val="0"/>
              <w:spacing w:line="243" w:lineRule="auto"/>
              <w:rPr>
                <w:rFonts w:ascii="Calibri" w:eastAsia="Calibri" w:hAnsi="Calibri" w:cs="Calibri"/>
                <w:sz w:val="24"/>
                <w:szCs w:val="24"/>
              </w:rPr>
            </w:pPr>
            <w:r>
              <w:rPr>
                <w:rFonts w:ascii="Calibri" w:eastAsia="Calibri" w:hAnsi="Calibri" w:cs="Calibri"/>
                <w:sz w:val="24"/>
                <w:szCs w:val="24"/>
              </w:rPr>
              <w:t xml:space="preserve"> </w:t>
            </w:r>
          </w:p>
        </w:tc>
        <w:tc>
          <w:tcPr>
            <w:tcW w:w="2202" w:type="dxa"/>
            <w:tcBorders>
              <w:top w:val="nil"/>
              <w:left w:val="nil"/>
              <w:bottom w:val="single" w:sz="8" w:space="0" w:color="000000"/>
              <w:right w:val="single" w:sz="8" w:space="0" w:color="000000"/>
            </w:tcBorders>
            <w:tcMar>
              <w:top w:w="100" w:type="dxa"/>
              <w:left w:w="100" w:type="dxa"/>
              <w:bottom w:w="100" w:type="dxa"/>
              <w:right w:w="100" w:type="dxa"/>
            </w:tcMar>
          </w:tcPr>
          <w:p w14:paraId="67A9843D" w14:textId="77777777" w:rsidR="00936FBF" w:rsidRDefault="00000000">
            <w:pPr>
              <w:widowControl w:val="0"/>
              <w:spacing w:line="243" w:lineRule="auto"/>
              <w:rPr>
                <w:rFonts w:ascii="Calibri" w:eastAsia="Calibri" w:hAnsi="Calibri" w:cs="Calibri"/>
                <w:sz w:val="24"/>
                <w:szCs w:val="24"/>
              </w:rPr>
            </w:pPr>
            <w:r>
              <w:rPr>
                <w:rFonts w:ascii="Calibri" w:eastAsia="Calibri" w:hAnsi="Calibri" w:cs="Calibri"/>
                <w:sz w:val="24"/>
                <w:szCs w:val="24"/>
              </w:rPr>
              <w:t xml:space="preserve"> Cleavage 1:</w:t>
            </w:r>
          </w:p>
        </w:tc>
        <w:tc>
          <w:tcPr>
            <w:tcW w:w="1800" w:type="dxa"/>
            <w:vMerge w:val="restart"/>
            <w:tcBorders>
              <w:top w:val="nil"/>
              <w:left w:val="nil"/>
              <w:bottom w:val="single" w:sz="8" w:space="0" w:color="000000"/>
              <w:right w:val="single" w:sz="8" w:space="0" w:color="000000"/>
            </w:tcBorders>
            <w:tcMar>
              <w:top w:w="100" w:type="dxa"/>
              <w:left w:w="100" w:type="dxa"/>
              <w:bottom w:w="100" w:type="dxa"/>
              <w:right w:w="100" w:type="dxa"/>
            </w:tcMar>
          </w:tcPr>
          <w:p w14:paraId="6D4317D6" w14:textId="77777777" w:rsidR="00936FBF" w:rsidRDefault="00000000">
            <w:pPr>
              <w:widowControl w:val="0"/>
              <w:spacing w:line="243" w:lineRule="auto"/>
              <w:rPr>
                <w:rFonts w:ascii="Calibri" w:eastAsia="Calibri" w:hAnsi="Calibri" w:cs="Calibri"/>
                <w:sz w:val="24"/>
                <w:szCs w:val="24"/>
              </w:rPr>
            </w:pPr>
            <w:r>
              <w:rPr>
                <w:rFonts w:ascii="Calibri" w:eastAsia="Calibri" w:hAnsi="Calibri" w:cs="Calibri"/>
                <w:sz w:val="24"/>
                <w:szCs w:val="24"/>
              </w:rPr>
              <w:t xml:space="preserve"> </w:t>
            </w:r>
          </w:p>
          <w:p w14:paraId="41F65A5D" w14:textId="77777777" w:rsidR="00936FBF" w:rsidRDefault="00000000">
            <w:pPr>
              <w:widowControl w:val="0"/>
              <w:spacing w:line="243" w:lineRule="auto"/>
              <w:rPr>
                <w:rFonts w:ascii="Calibri" w:eastAsia="Calibri" w:hAnsi="Calibri" w:cs="Calibri"/>
                <w:sz w:val="24"/>
                <w:szCs w:val="24"/>
              </w:rPr>
            </w:pPr>
            <w:r>
              <w:rPr>
                <w:rFonts w:ascii="Calibri" w:eastAsia="Calibri" w:hAnsi="Calibri" w:cs="Calibri"/>
                <w:sz w:val="24"/>
                <w:szCs w:val="24"/>
              </w:rPr>
              <w:t xml:space="preserve"> </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22F571BC" w14:textId="77777777" w:rsidR="00936FBF" w:rsidRDefault="00000000">
            <w:pPr>
              <w:widowControl w:val="0"/>
              <w:spacing w:line="243" w:lineRule="auto"/>
              <w:rPr>
                <w:rFonts w:ascii="Calibri" w:eastAsia="Calibri" w:hAnsi="Calibri" w:cs="Calibri"/>
                <w:sz w:val="24"/>
                <w:szCs w:val="24"/>
              </w:rPr>
            </w:pPr>
            <w:r>
              <w:rPr>
                <w:rFonts w:ascii="Calibri" w:eastAsia="Calibri" w:hAnsi="Calibri" w:cs="Calibri"/>
                <w:sz w:val="24"/>
                <w:szCs w:val="24"/>
              </w:rPr>
              <w:t xml:space="preserve"> Cleavage 1: </w:t>
            </w:r>
          </w:p>
        </w:tc>
      </w:tr>
      <w:tr w:rsidR="00936FBF" w14:paraId="236AF193" w14:textId="77777777" w:rsidTr="002C5E3F">
        <w:trPr>
          <w:trHeight w:val="226"/>
        </w:trPr>
        <w:tc>
          <w:tcPr>
            <w:tcW w:w="1636"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E923EF" w14:textId="77777777" w:rsidR="00936FBF" w:rsidRDefault="00936FBF">
            <w:pPr>
              <w:widowControl w:val="0"/>
              <w:spacing w:line="240" w:lineRule="auto"/>
              <w:rPr>
                <w:rFonts w:ascii="Calibri" w:eastAsia="Calibri" w:hAnsi="Calibri" w:cs="Calibri"/>
                <w:sz w:val="24"/>
                <w:szCs w:val="24"/>
              </w:rPr>
            </w:pPr>
          </w:p>
        </w:tc>
        <w:tc>
          <w:tcPr>
            <w:tcW w:w="1755"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144AF5" w14:textId="77777777" w:rsidR="00936FBF" w:rsidRDefault="00936FBF">
            <w:pPr>
              <w:widowControl w:val="0"/>
              <w:spacing w:line="240" w:lineRule="auto"/>
              <w:rPr>
                <w:rFonts w:ascii="Calibri" w:eastAsia="Calibri" w:hAnsi="Calibri" w:cs="Calibri"/>
                <w:sz w:val="24"/>
                <w:szCs w:val="24"/>
              </w:rPr>
            </w:pPr>
          </w:p>
        </w:tc>
        <w:tc>
          <w:tcPr>
            <w:tcW w:w="2202" w:type="dxa"/>
            <w:tcBorders>
              <w:top w:val="nil"/>
              <w:left w:val="nil"/>
              <w:bottom w:val="single" w:sz="8" w:space="0" w:color="000000"/>
              <w:right w:val="single" w:sz="8" w:space="0" w:color="000000"/>
            </w:tcBorders>
            <w:tcMar>
              <w:top w:w="100" w:type="dxa"/>
              <w:left w:w="100" w:type="dxa"/>
              <w:bottom w:w="100" w:type="dxa"/>
              <w:right w:w="100" w:type="dxa"/>
            </w:tcMar>
          </w:tcPr>
          <w:p w14:paraId="488C8F9D" w14:textId="77777777" w:rsidR="00936FBF" w:rsidRDefault="00000000">
            <w:pPr>
              <w:widowControl w:val="0"/>
              <w:spacing w:line="243" w:lineRule="auto"/>
              <w:rPr>
                <w:rFonts w:ascii="Calibri" w:eastAsia="Calibri" w:hAnsi="Calibri" w:cs="Calibri"/>
                <w:sz w:val="24"/>
                <w:szCs w:val="24"/>
              </w:rPr>
            </w:pPr>
            <w:r>
              <w:rPr>
                <w:rFonts w:ascii="Calibri" w:eastAsia="Calibri" w:hAnsi="Calibri" w:cs="Calibri"/>
                <w:sz w:val="24"/>
                <w:szCs w:val="24"/>
              </w:rPr>
              <w:t xml:space="preserve"> Cleavage 2:</w:t>
            </w:r>
          </w:p>
        </w:tc>
        <w:tc>
          <w:tcPr>
            <w:tcW w:w="1800" w:type="dxa"/>
            <w:vMerge/>
            <w:tcBorders>
              <w:top w:val="nil"/>
              <w:left w:val="nil"/>
              <w:bottom w:val="single" w:sz="8" w:space="0" w:color="000000"/>
              <w:right w:val="single" w:sz="8" w:space="0" w:color="000000"/>
            </w:tcBorders>
            <w:tcMar>
              <w:top w:w="100" w:type="dxa"/>
              <w:left w:w="100" w:type="dxa"/>
              <w:bottom w:w="100" w:type="dxa"/>
              <w:right w:w="100" w:type="dxa"/>
            </w:tcMar>
          </w:tcPr>
          <w:p w14:paraId="536E688E" w14:textId="77777777" w:rsidR="00936FBF" w:rsidRDefault="00936FBF">
            <w:pPr>
              <w:widowControl w:val="0"/>
              <w:spacing w:line="240" w:lineRule="auto"/>
              <w:rPr>
                <w:rFonts w:ascii="Calibri" w:eastAsia="Calibri" w:hAnsi="Calibri" w:cs="Calibri"/>
                <w:sz w:val="24"/>
                <w:szCs w:val="24"/>
              </w:rPr>
            </w:pP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4DADE65A" w14:textId="77777777" w:rsidR="00936FBF"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Cleavage 2:</w:t>
            </w:r>
          </w:p>
        </w:tc>
      </w:tr>
      <w:tr w:rsidR="00936FBF" w14:paraId="0A3A4481" w14:textId="77777777" w:rsidTr="002C5E3F">
        <w:trPr>
          <w:trHeight w:val="934"/>
        </w:trPr>
        <w:tc>
          <w:tcPr>
            <w:tcW w:w="935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C256F0" w14:textId="77777777" w:rsidR="00936FBF" w:rsidRDefault="00000000">
            <w:pPr>
              <w:widowControl w:val="0"/>
              <w:spacing w:line="240" w:lineRule="auto"/>
              <w:rPr>
                <w:rFonts w:ascii="Calibri" w:eastAsia="Calibri" w:hAnsi="Calibri" w:cs="Calibri"/>
              </w:rPr>
            </w:pPr>
            <w:r>
              <w:rPr>
                <w:rFonts w:ascii="Calibri" w:eastAsia="Calibri" w:hAnsi="Calibri" w:cs="Calibri"/>
              </w:rPr>
              <w:t>Paste screen capture of sequence here</w:t>
            </w:r>
          </w:p>
          <w:p w14:paraId="328E1A6B" w14:textId="77777777" w:rsidR="00936FBF" w:rsidRDefault="00936FBF">
            <w:pPr>
              <w:widowControl w:val="0"/>
              <w:spacing w:line="240" w:lineRule="auto"/>
              <w:rPr>
                <w:rFonts w:ascii="Calibri" w:eastAsia="Calibri" w:hAnsi="Calibri" w:cs="Calibri"/>
                <w:sz w:val="24"/>
                <w:szCs w:val="24"/>
              </w:rPr>
            </w:pPr>
          </w:p>
          <w:p w14:paraId="10983D8F" w14:textId="77777777" w:rsidR="00936FBF" w:rsidRDefault="00936FBF">
            <w:pPr>
              <w:widowControl w:val="0"/>
              <w:spacing w:line="240" w:lineRule="auto"/>
              <w:rPr>
                <w:rFonts w:ascii="Calibri" w:eastAsia="Calibri" w:hAnsi="Calibri" w:cs="Calibri"/>
                <w:sz w:val="24"/>
                <w:szCs w:val="24"/>
              </w:rPr>
            </w:pPr>
          </w:p>
          <w:p w14:paraId="3B7E63C0" w14:textId="77777777" w:rsidR="00936FBF" w:rsidRDefault="00936FBF">
            <w:pPr>
              <w:widowControl w:val="0"/>
              <w:spacing w:line="240" w:lineRule="auto"/>
              <w:rPr>
                <w:rFonts w:ascii="Calibri" w:eastAsia="Calibri" w:hAnsi="Calibri" w:cs="Calibri"/>
                <w:sz w:val="24"/>
                <w:szCs w:val="24"/>
              </w:rPr>
            </w:pPr>
          </w:p>
          <w:p w14:paraId="7AC59D8E" w14:textId="77777777" w:rsidR="00936FBF" w:rsidRDefault="00936FBF">
            <w:pPr>
              <w:widowControl w:val="0"/>
              <w:spacing w:line="240" w:lineRule="auto"/>
              <w:rPr>
                <w:rFonts w:ascii="Calibri" w:eastAsia="Calibri" w:hAnsi="Calibri" w:cs="Calibri"/>
                <w:sz w:val="24"/>
                <w:szCs w:val="24"/>
              </w:rPr>
            </w:pPr>
          </w:p>
        </w:tc>
      </w:tr>
    </w:tbl>
    <w:p w14:paraId="7862BC56" w14:textId="77777777" w:rsidR="00936FBF" w:rsidRDefault="00936FBF">
      <w:pPr>
        <w:rPr>
          <w:rFonts w:ascii="Roboto" w:eastAsia="Roboto" w:hAnsi="Roboto" w:cs="Roboto"/>
          <w:sz w:val="21"/>
          <w:szCs w:val="21"/>
          <w:highlight w:val="white"/>
        </w:rPr>
      </w:pPr>
    </w:p>
    <w:sectPr w:rsidR="00936FBF">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eela Vemu" w:date="2022-10-10T22:46:00Z" w:initials="">
    <w:p w14:paraId="716F5831" w14:textId="77777777" w:rsidR="00936FBF" w:rsidRDefault="00000000">
      <w:pPr>
        <w:widowControl w:val="0"/>
        <w:pBdr>
          <w:top w:val="nil"/>
          <w:left w:val="nil"/>
          <w:bottom w:val="nil"/>
          <w:right w:val="nil"/>
          <w:between w:val="nil"/>
        </w:pBdr>
        <w:spacing w:line="240" w:lineRule="auto"/>
        <w:rPr>
          <w:color w:val="000000"/>
        </w:rPr>
      </w:pPr>
      <w:r>
        <w:rPr>
          <w:color w:val="000000"/>
        </w:rPr>
        <w:t>https://qubeshub.org/publications/2811/?v=1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6F58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6F5831" w16cid:durableId="271F4A8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C7CBC"/>
    <w:multiLevelType w:val="multilevel"/>
    <w:tmpl w:val="16BED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4973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FBF"/>
    <w:rsid w:val="002C5E3F"/>
    <w:rsid w:val="005A6C52"/>
    <w:rsid w:val="00646135"/>
    <w:rsid w:val="00936FBF"/>
    <w:rsid w:val="00B2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34F8F9"/>
  <w15:docId w15:val="{9D32C29E-F5A3-7D4C-97A7-1C5F924EE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6461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46135"/>
    <w:rPr>
      <w:b/>
      <w:bCs/>
    </w:rPr>
  </w:style>
  <w:style w:type="character" w:styleId="Hyperlink">
    <w:name w:val="Hyperlink"/>
    <w:basedOn w:val="DefaultParagraphFont"/>
    <w:uiPriority w:val="99"/>
    <w:semiHidden/>
    <w:unhideWhenUsed/>
    <w:rsid w:val="00646135"/>
    <w:rPr>
      <w:color w:val="0000FF"/>
      <w:u w:val="single"/>
    </w:rPr>
  </w:style>
  <w:style w:type="character" w:styleId="FollowedHyperlink">
    <w:name w:val="FollowedHyperlink"/>
    <w:basedOn w:val="DefaultParagraphFont"/>
    <w:uiPriority w:val="99"/>
    <w:semiHidden/>
    <w:unhideWhenUsed/>
    <w:rsid w:val="005A6C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8389">
      <w:bodyDiv w:val="1"/>
      <w:marLeft w:val="0"/>
      <w:marRight w:val="0"/>
      <w:marTop w:val="0"/>
      <w:marBottom w:val="0"/>
      <w:divBdr>
        <w:top w:val="none" w:sz="0" w:space="0" w:color="auto"/>
        <w:left w:val="none" w:sz="0" w:space="0" w:color="auto"/>
        <w:bottom w:val="none" w:sz="0" w:space="0" w:color="auto"/>
        <w:right w:val="none" w:sz="0" w:space="0" w:color="auto"/>
      </w:divBdr>
    </w:div>
    <w:div w:id="1661303217">
      <w:bodyDiv w:val="1"/>
      <w:marLeft w:val="0"/>
      <w:marRight w:val="0"/>
      <w:marTop w:val="0"/>
      <w:marBottom w:val="0"/>
      <w:divBdr>
        <w:top w:val="none" w:sz="0" w:space="0" w:color="auto"/>
        <w:left w:val="none" w:sz="0" w:space="0" w:color="auto"/>
        <w:bottom w:val="none" w:sz="0" w:space="0" w:color="auto"/>
        <w:right w:val="none" w:sz="0" w:space="0" w:color="auto"/>
      </w:divBdr>
    </w:div>
    <w:div w:id="2082170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JRoWhD3I8ko" TargetMode="External"/><Relationship Id="rId11" Type="http://schemas.openxmlformats.org/officeDocument/2006/relationships/hyperlink" Target="https://www.iedb.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uniprot.org/"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1246</Words>
  <Characters>7103</Characters>
  <Application>Microsoft Office Word</Application>
  <DocSecurity>0</DocSecurity>
  <Lines>59</Lines>
  <Paragraphs>16</Paragraphs>
  <ScaleCrop>false</ScaleCrop>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meeks mallari</cp:lastModifiedBy>
  <cp:revision>5</cp:revision>
  <dcterms:created xsi:type="dcterms:W3CDTF">2022-11-16T19:39:00Z</dcterms:created>
  <dcterms:modified xsi:type="dcterms:W3CDTF">2022-12-09T00:45:00Z</dcterms:modified>
</cp:coreProperties>
</file>