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0005454545455" w:lineRule="auto"/>
        <w:rPr>
          <w:rFonts w:ascii="Arial" w:cs="Arial" w:eastAsia="Arial" w:hAnsi="Arial"/>
          <w:b w:val="1"/>
        </w:rPr>
      </w:pPr>
      <w:r w:rsidDel="00000000" w:rsidR="00000000" w:rsidRPr="00000000">
        <w:rPr>
          <w:rFonts w:ascii="Arial" w:cs="Arial" w:eastAsia="Arial" w:hAnsi="Arial"/>
          <w:b w:val="1"/>
          <w:rtl w:val="0"/>
        </w:rPr>
        <w:t xml:space="preserve">Group member first names:</w:t>
      </w:r>
    </w:p>
    <w:p w:rsidR="00000000" w:rsidDel="00000000" w:rsidP="00000000" w:rsidRDefault="00000000" w:rsidRPr="00000000" w14:paraId="00000002">
      <w:pPr>
        <w:widowControl w:val="0"/>
        <w:spacing w:line="276.0005454545455"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widowControl w:val="0"/>
        <w:spacing w:line="276.0005454545455" w:lineRule="auto"/>
        <w:rPr>
          <w:rFonts w:ascii="Arial" w:cs="Arial" w:eastAsia="Arial" w:hAnsi="Arial"/>
          <w:b w:val="1"/>
        </w:rPr>
      </w:pPr>
      <w:r w:rsidDel="00000000" w:rsidR="00000000" w:rsidRPr="00000000">
        <w:rPr>
          <w:rFonts w:ascii="Arial" w:cs="Arial" w:eastAsia="Arial" w:hAnsi="Arial"/>
          <w:b w:val="1"/>
          <w:rtl w:val="0"/>
        </w:rPr>
        <w:t xml:space="preserve">Introduction to Part 1</w:t>
      </w:r>
    </w:p>
    <w:p w:rsidR="00000000" w:rsidDel="00000000" w:rsidP="00000000" w:rsidRDefault="00000000" w:rsidRPr="00000000" w14:paraId="00000004">
      <w:pPr>
        <w:widowControl w:val="0"/>
        <w:spacing w:line="276.0005454545455"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pageBreakBefore w:val="0"/>
        <w:widowControl w:val="0"/>
        <w:rPr>
          <w:rFonts w:ascii="Arial" w:cs="Arial" w:eastAsia="Arial" w:hAnsi="Arial"/>
        </w:rPr>
      </w:pPr>
      <w:r w:rsidDel="00000000" w:rsidR="00000000" w:rsidRPr="00000000">
        <w:rPr>
          <w:rFonts w:ascii="Arial" w:cs="Arial" w:eastAsia="Arial" w:hAnsi="Arial"/>
          <w:rtl w:val="0"/>
        </w:rPr>
        <w:t xml:space="preserve">As you have learned in lecture and in the pre-work, the microtubules of the cytoskeleton play a crucial role in transport of molecules and organelles within the cell as well as cell mobility. Microtubules are especially instrumental in the movement of chromosomes during mitosis of the cell cycle. </w:t>
      </w:r>
    </w:p>
    <w:p w:rsidR="00000000" w:rsidDel="00000000" w:rsidP="00000000" w:rsidRDefault="00000000" w:rsidRPr="00000000" w14:paraId="00000006">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07">
      <w:pPr>
        <w:pageBreakBefore w:val="0"/>
        <w:widowControl w:val="0"/>
        <w:rPr>
          <w:rFonts w:ascii="Arial" w:cs="Arial" w:eastAsia="Arial" w:hAnsi="Arial"/>
          <w:sz w:val="22"/>
          <w:szCs w:val="22"/>
        </w:rPr>
      </w:pPr>
      <w:r w:rsidDel="00000000" w:rsidR="00000000" w:rsidRPr="00000000">
        <w:rPr>
          <w:rFonts w:ascii="Arial" w:cs="Arial" w:eastAsia="Arial" w:hAnsi="Arial"/>
          <w:rtl w:val="0"/>
        </w:rPr>
        <w:t xml:space="preserve">In this first module activity, we will be quantifying the dynamics of microtubule polymerization and depolymerization over a single event of both during one round of the cell cycle. </w:t>
      </w:r>
      <w:r w:rsidDel="00000000" w:rsidR="00000000" w:rsidRPr="00000000">
        <w:rPr>
          <w:rtl w:val="0"/>
        </w:rPr>
      </w:r>
    </w:p>
    <w:p w:rsidR="00000000" w:rsidDel="00000000" w:rsidP="00000000" w:rsidRDefault="00000000" w:rsidRPr="00000000" w14:paraId="00000008">
      <w:pPr>
        <w:pageBreakBefore w:val="0"/>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b w:val="1"/>
        </w:rPr>
      </w:pPr>
      <w:r w:rsidDel="00000000" w:rsidR="00000000" w:rsidRPr="00000000">
        <w:rPr>
          <w:rFonts w:ascii="Arial" w:cs="Arial" w:eastAsia="Arial" w:hAnsi="Arial"/>
          <w:b w:val="1"/>
          <w:rtl w:val="0"/>
        </w:rPr>
        <w:t xml:space="preserve">Exercises - Part 1</w:t>
      </w:r>
    </w:p>
    <w:p w:rsidR="00000000" w:rsidDel="00000000" w:rsidP="00000000" w:rsidRDefault="00000000" w:rsidRPr="00000000" w14:paraId="0000000A">
      <w:pPr>
        <w:spacing w:line="276"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B">
      <w:pPr>
        <w:pageBreakBefore w:val="0"/>
        <w:spacing w:line="276" w:lineRule="auto"/>
        <w:rPr>
          <w:rFonts w:ascii="Arial" w:cs="Arial" w:eastAsia="Arial" w:hAnsi="Arial"/>
          <w:b w:val="1"/>
        </w:rPr>
      </w:pPr>
      <w:r w:rsidDel="00000000" w:rsidR="00000000" w:rsidRPr="00000000">
        <w:rPr>
          <w:rFonts w:ascii="Arial" w:cs="Arial" w:eastAsia="Arial" w:hAnsi="Arial"/>
          <w:b w:val="1"/>
          <w:sz w:val="22"/>
          <w:szCs w:val="22"/>
          <w:rtl w:val="0"/>
        </w:rPr>
        <w:t xml:space="preserve">Students: To receive credit for this exercise, provide short answers and calculations for all questions below.</w:t>
      </w:r>
      <w:r w:rsidDel="00000000" w:rsidR="00000000" w:rsidRPr="00000000">
        <w:rPr>
          <w:rtl w:val="0"/>
        </w:rPr>
      </w:r>
    </w:p>
    <w:p w:rsidR="00000000" w:rsidDel="00000000" w:rsidP="00000000" w:rsidRDefault="00000000" w:rsidRPr="00000000" w14:paraId="0000000C">
      <w:pPr>
        <w:pageBreakBefore w:val="0"/>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0D">
      <w:pPr>
        <w:pageBreakBefore w:val="0"/>
        <w:widowControl w:val="0"/>
        <w:ind w:left="0" w:firstLine="0"/>
        <w:rPr>
          <w:rFonts w:ascii="Arial" w:cs="Arial" w:eastAsia="Arial" w:hAnsi="Arial"/>
        </w:rPr>
      </w:pPr>
      <w:r w:rsidDel="00000000" w:rsidR="00000000" w:rsidRPr="00000000">
        <w:rPr>
          <w:rFonts w:ascii="Arial" w:cs="Arial" w:eastAsia="Arial" w:hAnsi="Arial"/>
          <w:rtl w:val="0"/>
        </w:rPr>
        <w:t xml:space="preserve">The graph below identifies a single polymerization and depolymerization event of a microtubule during one round of the cell cycle.</w:t>
      </w:r>
    </w:p>
    <w:p w:rsidR="00000000" w:rsidDel="00000000" w:rsidP="00000000" w:rsidRDefault="00000000" w:rsidRPr="00000000" w14:paraId="0000000E">
      <w:pPr>
        <w:pageBreakBefore w:val="0"/>
        <w:widowControl w:val="0"/>
        <w:jc w:val="center"/>
        <w:rPr>
          <w:rFonts w:ascii="Arial" w:cs="Arial" w:eastAsia="Arial" w:hAnsi="Arial"/>
          <w:b w:val="1"/>
          <w:color w:val="0000ff"/>
        </w:rPr>
      </w:pPr>
      <w:r w:rsidDel="00000000" w:rsidR="00000000" w:rsidRPr="00000000">
        <w:rPr>
          <w:rFonts w:ascii="Arial" w:cs="Arial" w:eastAsia="Arial" w:hAnsi="Arial"/>
          <w:b w:val="1"/>
          <w:color w:val="0000ff"/>
        </w:rPr>
        <w:drawing>
          <wp:inline distB="114300" distT="114300" distL="114300" distR="114300">
            <wp:extent cx="5324475" cy="3056811"/>
            <wp:effectExtent b="0" l="0" r="0" t="0"/>
            <wp:docPr id="1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324475" cy="3056811"/>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Figure 1. Changes in microtubule filament length (μm) over time.</w:t>
      </w:r>
    </w:p>
    <w:p w:rsidR="00000000" w:rsidDel="00000000" w:rsidP="00000000" w:rsidRDefault="00000000" w:rsidRPr="00000000" w14:paraId="00000010">
      <w:pPr>
        <w:pageBreakBefore w:val="0"/>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011">
      <w:pPr>
        <w:pageBreakBefore w:val="0"/>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On the graph above, circle the group of data points that represent polymerization and then do the same for the data points that represent depolymerization. Make sure you delineate which grouping represents each process. If you are unable to draw on this document, explain the answer using time point ranges.</w:t>
      </w:r>
    </w:p>
    <w:p w:rsidR="00000000" w:rsidDel="00000000" w:rsidP="00000000" w:rsidRDefault="00000000" w:rsidRPr="00000000" w14:paraId="00000012">
      <w:pPr>
        <w:pageBreakBefore w:val="0"/>
        <w:widowControl w:val="0"/>
        <w:ind w:left="1440" w:firstLine="0"/>
        <w:rPr>
          <w:rFonts w:ascii="Arial" w:cs="Arial" w:eastAsia="Arial" w:hAnsi="Arial"/>
          <w:color w:val="ff0000"/>
        </w:rPr>
      </w:pPr>
      <w:r w:rsidDel="00000000" w:rsidR="00000000" w:rsidRPr="00000000">
        <w:rPr>
          <w:rtl w:val="0"/>
        </w:rPr>
      </w:r>
    </w:p>
    <w:p w:rsidR="00000000" w:rsidDel="00000000" w:rsidP="00000000" w:rsidRDefault="00000000" w:rsidRPr="00000000" w14:paraId="00000013">
      <w:pPr>
        <w:pageBreakBefore w:val="0"/>
        <w:widowControl w:val="0"/>
        <w:ind w:left="1440" w:firstLine="0"/>
        <w:rPr>
          <w:rFonts w:ascii="Arial" w:cs="Arial" w:eastAsia="Arial" w:hAnsi="Arial"/>
          <w:color w:val="ff0000"/>
        </w:rPr>
      </w:pPr>
      <w:r w:rsidDel="00000000" w:rsidR="00000000" w:rsidRPr="00000000">
        <w:rPr>
          <w:rtl w:val="0"/>
        </w:rPr>
      </w:r>
    </w:p>
    <w:p w:rsidR="00000000" w:rsidDel="00000000" w:rsidP="00000000" w:rsidRDefault="00000000" w:rsidRPr="00000000" w14:paraId="00000014">
      <w:pPr>
        <w:pageBreakBefore w:val="0"/>
        <w:widowControl w:val="0"/>
        <w:ind w:left="1440" w:firstLine="0"/>
        <w:rPr>
          <w:rFonts w:ascii="Arial" w:cs="Arial" w:eastAsia="Arial" w:hAnsi="Arial"/>
          <w:color w:val="ff0000"/>
        </w:rPr>
      </w:pPr>
      <w:r w:rsidDel="00000000" w:rsidR="00000000" w:rsidRPr="00000000">
        <w:rPr>
          <w:rtl w:val="0"/>
        </w:rPr>
      </w:r>
    </w:p>
    <w:p w:rsidR="00000000" w:rsidDel="00000000" w:rsidP="00000000" w:rsidRDefault="00000000" w:rsidRPr="00000000" w14:paraId="00000015">
      <w:pPr>
        <w:pageBreakBefore w:val="0"/>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How much does the filament length change over the time interval of polymerization and over the time interval of depolymerization?</w:t>
      </w:r>
    </w:p>
    <w:p w:rsidR="00000000" w:rsidDel="00000000" w:rsidP="00000000" w:rsidRDefault="00000000" w:rsidRPr="00000000" w14:paraId="00000016">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17">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18">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19">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1A">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1B">
      <w:pPr>
        <w:pageBreakBefore w:val="0"/>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Before you do any calculations, describe which event (polymerization or depolymerization) occurs at a faster rate and how you were able to identify that based on the data.</w:t>
      </w:r>
    </w:p>
    <w:p w:rsidR="00000000" w:rsidDel="00000000" w:rsidP="00000000" w:rsidRDefault="00000000" w:rsidRPr="00000000" w14:paraId="0000001C">
      <w:pPr>
        <w:pageBreakBefore w:val="0"/>
        <w:widowControl w:val="0"/>
        <w:ind w:left="0" w:firstLine="0"/>
        <w:rPr>
          <w:rFonts w:ascii="Arial" w:cs="Arial" w:eastAsia="Arial" w:hAnsi="Arial"/>
          <w:b w:val="1"/>
          <w:color w:val="0000ff"/>
        </w:rPr>
      </w:pPr>
      <w:r w:rsidDel="00000000" w:rsidR="00000000" w:rsidRPr="00000000">
        <w:rPr>
          <w:rFonts w:ascii="Arial" w:cs="Arial" w:eastAsia="Arial" w:hAnsi="Arial"/>
          <w:b w:val="1"/>
          <w:color w:val="ff00ff"/>
          <w:rtl w:val="0"/>
        </w:rPr>
        <w:tab/>
        <w:tab/>
      </w:r>
      <w:r w:rsidDel="00000000" w:rsidR="00000000" w:rsidRPr="00000000">
        <w:rPr>
          <w:rFonts w:ascii="Arial" w:cs="Arial" w:eastAsia="Arial" w:hAnsi="Arial"/>
          <w:b w:val="1"/>
          <w:color w:val="0000ff"/>
          <w:rtl w:val="0"/>
        </w:rPr>
        <w:tab/>
        <w:tab/>
      </w:r>
    </w:p>
    <w:p w:rsidR="00000000" w:rsidDel="00000000" w:rsidP="00000000" w:rsidRDefault="00000000" w:rsidRPr="00000000" w14:paraId="0000001D">
      <w:pPr>
        <w:pageBreakBefore w:val="0"/>
        <w:widowControl w:val="0"/>
        <w:ind w:left="1440" w:firstLine="0"/>
        <w:rPr>
          <w:rFonts w:ascii="Arial" w:cs="Arial" w:eastAsia="Arial" w:hAnsi="Arial"/>
          <w:b w:val="1"/>
          <w:color w:val="ff00ff"/>
        </w:rPr>
      </w:pPr>
      <w:r w:rsidDel="00000000" w:rsidR="00000000" w:rsidRPr="00000000">
        <w:rPr>
          <w:rtl w:val="0"/>
        </w:rPr>
      </w:r>
    </w:p>
    <w:p w:rsidR="00000000" w:rsidDel="00000000" w:rsidP="00000000" w:rsidRDefault="00000000" w:rsidRPr="00000000" w14:paraId="0000001E">
      <w:pPr>
        <w:pageBreakBefore w:val="0"/>
        <w:widowControl w:val="0"/>
        <w:ind w:left="1440" w:firstLine="0"/>
        <w:rPr>
          <w:rFonts w:ascii="Arial" w:cs="Arial" w:eastAsia="Arial" w:hAnsi="Arial"/>
          <w:b w:val="1"/>
          <w:color w:val="ff00ff"/>
        </w:rPr>
      </w:pPr>
      <w:r w:rsidDel="00000000" w:rsidR="00000000" w:rsidRPr="00000000">
        <w:rPr>
          <w:rtl w:val="0"/>
        </w:rPr>
      </w:r>
    </w:p>
    <w:p w:rsidR="00000000" w:rsidDel="00000000" w:rsidP="00000000" w:rsidRDefault="00000000" w:rsidRPr="00000000" w14:paraId="0000001F">
      <w:pPr>
        <w:pageBreakBefore w:val="0"/>
        <w:widowControl w:val="0"/>
        <w:ind w:left="1440" w:firstLine="0"/>
        <w:rPr>
          <w:rFonts w:ascii="Arial" w:cs="Arial" w:eastAsia="Arial" w:hAnsi="Arial"/>
          <w:b w:val="1"/>
          <w:color w:val="ff00ff"/>
        </w:rPr>
      </w:pPr>
      <w:r w:rsidDel="00000000" w:rsidR="00000000" w:rsidRPr="00000000">
        <w:rPr>
          <w:rtl w:val="0"/>
        </w:rPr>
      </w:r>
    </w:p>
    <w:p w:rsidR="00000000" w:rsidDel="00000000" w:rsidP="00000000" w:rsidRDefault="00000000" w:rsidRPr="00000000" w14:paraId="00000020">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21">
      <w:pPr>
        <w:pageBreakBefore w:val="0"/>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Using the data on the scatter plot, calculate the rate of polymerization in micrometers per minute. </w:t>
      </w:r>
    </w:p>
    <w:p w:rsidR="00000000" w:rsidDel="00000000" w:rsidP="00000000" w:rsidRDefault="00000000" w:rsidRPr="00000000" w14:paraId="00000022">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23">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24">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25">
      <w:pPr>
        <w:pageBreakBefore w:val="0"/>
        <w:widowControl w:val="0"/>
        <w:rPr>
          <w:rFonts w:ascii="Arial" w:cs="Arial" w:eastAsia="Arial" w:hAnsi="Arial"/>
          <w:b w:val="1"/>
          <w:color w:val="0000ff"/>
        </w:rPr>
      </w:pPr>
      <w:r w:rsidDel="00000000" w:rsidR="00000000" w:rsidRPr="00000000">
        <w:rPr>
          <w:rFonts w:ascii="Arial" w:cs="Arial" w:eastAsia="Arial" w:hAnsi="Arial"/>
          <w:b w:val="1"/>
          <w:color w:val="0000ff"/>
          <w:rtl w:val="0"/>
        </w:rPr>
        <w:tab/>
      </w:r>
    </w:p>
    <w:p w:rsidR="00000000" w:rsidDel="00000000" w:rsidP="00000000" w:rsidRDefault="00000000" w:rsidRPr="00000000" w14:paraId="00000026">
      <w:pPr>
        <w:pageBreakBefore w:val="0"/>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Using the data on the scatter plot, calculate the rate of depolymerization in micrometers per minute. </w:t>
      </w:r>
    </w:p>
    <w:p w:rsidR="00000000" w:rsidDel="00000000" w:rsidP="00000000" w:rsidRDefault="00000000" w:rsidRPr="00000000" w14:paraId="00000027">
      <w:pPr>
        <w:pageBreakBefore w:val="0"/>
        <w:widowControl w:val="0"/>
        <w:ind w:left="144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28">
      <w:pPr>
        <w:pageBreakBefore w:val="0"/>
        <w:widowControl w:val="0"/>
        <w:ind w:left="144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29">
      <w:pPr>
        <w:pageBreakBefore w:val="0"/>
        <w:widowControl w:val="0"/>
        <w:ind w:left="144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2A">
      <w:pPr>
        <w:pageBreakBefore w:val="0"/>
        <w:widowControl w:val="0"/>
        <w:ind w:left="144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2B">
      <w:pPr>
        <w:pageBreakBefore w:val="0"/>
        <w:widowControl w:val="0"/>
        <w:ind w:left="144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2C">
      <w:pPr>
        <w:pageBreakBefore w:val="0"/>
        <w:widowControl w:val="0"/>
        <w:ind w:left="144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2D">
      <w:pPr>
        <w:pageBreakBefore w:val="0"/>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Each tubulin dimer subunit is 8.0 nm in length. Using the depolymerization rate from step d above, calculate how many subunits (tubulin dimers) were lost per second on one protofilament of the microtubule with this depolymerization event. How many were lost per second for the entire microtubule, which contains 13 protofilaments? </w:t>
      </w:r>
    </w:p>
    <w:p w:rsidR="00000000" w:rsidDel="00000000" w:rsidP="00000000" w:rsidRDefault="00000000" w:rsidRPr="00000000" w14:paraId="0000002E">
      <w:pPr>
        <w:pageBreakBefore w:val="0"/>
        <w:widowControl w:val="0"/>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F">
      <w:pPr>
        <w:pageBreakBefore w:val="0"/>
        <w:widowControl w:val="0"/>
        <w:ind w:left="720" w:firstLine="0"/>
        <w:rPr>
          <w:rFonts w:ascii="Arial" w:cs="Arial" w:eastAsia="Arial" w:hAnsi="Arial"/>
        </w:rPr>
      </w:pPr>
      <w:r w:rsidDel="00000000" w:rsidR="00000000" w:rsidRPr="00000000">
        <w:rPr>
          <w:rFonts w:ascii="Arial" w:cs="Arial" w:eastAsia="Arial" w:hAnsi="Arial"/>
          <w:rtl w:val="0"/>
        </w:rPr>
        <w:tab/>
        <w:t xml:space="preserve">Conversion reminders: </w:t>
      </w:r>
    </w:p>
    <w:p w:rsidR="00000000" w:rsidDel="00000000" w:rsidP="00000000" w:rsidRDefault="00000000" w:rsidRPr="00000000" w14:paraId="00000030">
      <w:pPr>
        <w:pageBreakBefore w:val="0"/>
        <w:widowControl w:val="0"/>
        <w:numPr>
          <w:ilvl w:val="0"/>
          <w:numId w:val="3"/>
        </w:numPr>
        <w:ind w:left="2160" w:hanging="360"/>
        <w:rPr>
          <w:rFonts w:ascii="Arial" w:cs="Arial" w:eastAsia="Arial" w:hAnsi="Arial"/>
        </w:rPr>
      </w:pPr>
      <w:r w:rsidDel="00000000" w:rsidR="00000000" w:rsidRPr="00000000">
        <w:rPr>
          <w:rFonts w:ascii="Arial" w:cs="Arial" w:eastAsia="Arial" w:hAnsi="Arial"/>
          <w:rtl w:val="0"/>
        </w:rPr>
        <w:t xml:space="preserve">1000 nm in 1 μm</w:t>
      </w:r>
    </w:p>
    <w:p w:rsidR="00000000" w:rsidDel="00000000" w:rsidP="00000000" w:rsidRDefault="00000000" w:rsidRPr="00000000" w14:paraId="00000031">
      <w:pPr>
        <w:pageBreakBefore w:val="0"/>
        <w:widowControl w:val="0"/>
        <w:ind w:left="0" w:firstLine="0"/>
        <w:rPr>
          <w:rFonts w:ascii="Arial" w:cs="Arial" w:eastAsia="Arial" w:hAnsi="Arial"/>
          <w:b w:val="1"/>
          <w:color w:val="0000ff"/>
        </w:rPr>
      </w:pPr>
      <w:r w:rsidDel="00000000" w:rsidR="00000000" w:rsidRPr="00000000">
        <w:rPr>
          <w:rFonts w:ascii="Arial" w:cs="Arial" w:eastAsia="Arial" w:hAnsi="Arial"/>
          <w:b w:val="1"/>
          <w:color w:val="0000ff"/>
          <w:rtl w:val="0"/>
        </w:rPr>
        <w:tab/>
        <w:tab/>
        <w:tab/>
      </w:r>
    </w:p>
    <w:p w:rsidR="00000000" w:rsidDel="00000000" w:rsidP="00000000" w:rsidRDefault="00000000" w:rsidRPr="00000000" w14:paraId="00000032">
      <w:pPr>
        <w:pageBreakBefore w:val="0"/>
        <w:widowControl w:val="0"/>
        <w:ind w:left="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33">
      <w:pPr>
        <w:pageBreakBefore w:val="0"/>
        <w:widowControl w:val="0"/>
        <w:ind w:left="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34">
      <w:pPr>
        <w:pageBreakBefore w:val="0"/>
        <w:widowControl w:val="0"/>
        <w:ind w:left="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35">
      <w:pPr>
        <w:pageBreakBefore w:val="0"/>
        <w:widowControl w:val="0"/>
        <w:ind w:left="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36">
      <w:pPr>
        <w:pageBreakBefore w:val="0"/>
        <w:widowControl w:val="0"/>
        <w:ind w:left="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37">
      <w:pPr>
        <w:pageBreakBefore w:val="0"/>
        <w:widowControl w:val="0"/>
        <w:ind w:left="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38">
      <w:pPr>
        <w:pageBreakBefore w:val="0"/>
        <w:widowControl w:val="0"/>
        <w:ind w:left="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39">
      <w:pPr>
        <w:pageBreakBefore w:val="0"/>
        <w:widowControl w:val="0"/>
        <w:ind w:left="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3A">
      <w:pPr>
        <w:pageBreakBefore w:val="0"/>
        <w:widowControl w:val="0"/>
        <w:ind w:left="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3B">
      <w:pPr>
        <w:pageBreakBefore w:val="0"/>
        <w:widowControl w:val="0"/>
        <w:ind w:left="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3C">
      <w:pPr>
        <w:pageBreakBefore w:val="0"/>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Using the information above with tubulin dimer length and your calculated rate of polymerization, how much GTP is hydrolyzed per second for all 13 protofilaments in the polymerization process shown on the graph? Remember that one GTP is hydrolyzed for each tubulin dimer added to the growing microtubule.</w:t>
      </w:r>
    </w:p>
    <w:p w:rsidR="00000000" w:rsidDel="00000000" w:rsidP="00000000" w:rsidRDefault="00000000" w:rsidRPr="00000000" w14:paraId="0000003D">
      <w:pPr>
        <w:pageBreakBefore w:val="0"/>
        <w:widowControl w:val="0"/>
        <w:rPr>
          <w:rFonts w:ascii="Arial" w:cs="Arial" w:eastAsia="Arial" w:hAnsi="Arial"/>
          <w:color w:val="ff0000"/>
        </w:rPr>
      </w:pPr>
      <w:r w:rsidDel="00000000" w:rsidR="00000000" w:rsidRPr="00000000">
        <w:rPr>
          <w:rtl w:val="0"/>
        </w:rPr>
      </w:r>
    </w:p>
    <w:p w:rsidR="00000000" w:rsidDel="00000000" w:rsidP="00000000" w:rsidRDefault="00000000" w:rsidRPr="00000000" w14:paraId="0000003E">
      <w:pPr>
        <w:pageBreakBefore w:val="0"/>
        <w:widowControl w:val="0"/>
        <w:rPr>
          <w:rFonts w:ascii="Arial" w:cs="Arial" w:eastAsia="Arial" w:hAnsi="Arial"/>
          <w:color w:val="ff0000"/>
        </w:rPr>
      </w:pPr>
      <w:r w:rsidDel="00000000" w:rsidR="00000000" w:rsidRPr="00000000">
        <w:rPr>
          <w:rFonts w:ascii="Arial" w:cs="Arial" w:eastAsia="Arial" w:hAnsi="Arial"/>
          <w:color w:val="ff0000"/>
          <w:rtl w:val="0"/>
        </w:rPr>
        <w:tab/>
        <w:tab/>
      </w:r>
    </w:p>
    <w:p w:rsidR="00000000" w:rsidDel="00000000" w:rsidP="00000000" w:rsidRDefault="00000000" w:rsidRPr="00000000" w14:paraId="0000003F">
      <w:pPr>
        <w:pageBreakBefore w:val="0"/>
        <w:widowControl w:val="0"/>
        <w:rPr>
          <w:rFonts w:ascii="Arial" w:cs="Arial" w:eastAsia="Arial" w:hAnsi="Arial"/>
          <w:color w:val="ff0000"/>
        </w:rPr>
      </w:pPr>
      <w:r w:rsidDel="00000000" w:rsidR="00000000" w:rsidRPr="00000000">
        <w:rPr>
          <w:rtl w:val="0"/>
        </w:rPr>
      </w:r>
    </w:p>
    <w:p w:rsidR="00000000" w:rsidDel="00000000" w:rsidP="00000000" w:rsidRDefault="00000000" w:rsidRPr="00000000" w14:paraId="00000040">
      <w:pPr>
        <w:pageBreakBefore w:val="0"/>
        <w:widowControl w:val="0"/>
        <w:rPr>
          <w:rFonts w:ascii="Arial" w:cs="Arial" w:eastAsia="Arial" w:hAnsi="Arial"/>
          <w:color w:val="ff0000"/>
        </w:rPr>
      </w:pPr>
      <w:r w:rsidDel="00000000" w:rsidR="00000000" w:rsidRPr="00000000">
        <w:rPr>
          <w:rtl w:val="0"/>
        </w:rPr>
      </w:r>
    </w:p>
    <w:p w:rsidR="00000000" w:rsidDel="00000000" w:rsidP="00000000" w:rsidRDefault="00000000" w:rsidRPr="00000000" w14:paraId="00000041">
      <w:pPr>
        <w:pageBreakBefore w:val="0"/>
        <w:widowControl w:val="0"/>
        <w:rPr>
          <w:rFonts w:ascii="Arial" w:cs="Arial" w:eastAsia="Arial" w:hAnsi="Arial"/>
          <w:color w:val="ff0000"/>
        </w:rPr>
      </w:pPr>
      <w:r w:rsidDel="00000000" w:rsidR="00000000" w:rsidRPr="00000000">
        <w:rPr>
          <w:rtl w:val="0"/>
        </w:rPr>
      </w:r>
    </w:p>
    <w:p w:rsidR="00000000" w:rsidDel="00000000" w:rsidP="00000000" w:rsidRDefault="00000000" w:rsidRPr="00000000" w14:paraId="00000042">
      <w:pPr>
        <w:pageBreakBefore w:val="0"/>
        <w:widowControl w:val="0"/>
        <w:rPr>
          <w:rFonts w:ascii="Arial" w:cs="Arial" w:eastAsia="Arial" w:hAnsi="Arial"/>
          <w:color w:val="ff0000"/>
        </w:rPr>
      </w:pPr>
      <w:r w:rsidDel="00000000" w:rsidR="00000000" w:rsidRPr="00000000">
        <w:rPr>
          <w:rtl w:val="0"/>
        </w:rPr>
      </w:r>
    </w:p>
    <w:p w:rsidR="00000000" w:rsidDel="00000000" w:rsidP="00000000" w:rsidRDefault="00000000" w:rsidRPr="00000000" w14:paraId="00000043">
      <w:pPr>
        <w:pageBreakBefore w:val="0"/>
        <w:widowControl w:val="0"/>
        <w:rPr>
          <w:rFonts w:ascii="Arial" w:cs="Arial" w:eastAsia="Arial" w:hAnsi="Arial"/>
          <w:color w:val="ff0000"/>
        </w:rPr>
      </w:pPr>
      <w:r w:rsidDel="00000000" w:rsidR="00000000" w:rsidRPr="00000000">
        <w:rPr>
          <w:rtl w:val="0"/>
        </w:rPr>
      </w:r>
    </w:p>
    <w:p w:rsidR="00000000" w:rsidDel="00000000" w:rsidP="00000000" w:rsidRDefault="00000000" w:rsidRPr="00000000" w14:paraId="00000044">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45">
      <w:pPr>
        <w:pageBreakBefore w:val="0"/>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As you can see from the graph, the rapid depolymerization results in the complete reduction of the microtubule length. This is referred to as a microtubule catastrophe. Based on what you know about depolymerization, what is occuring with the microtubule filaments that results in this dynamic instability?</w:t>
      </w:r>
    </w:p>
    <w:p w:rsidR="00000000" w:rsidDel="00000000" w:rsidP="00000000" w:rsidRDefault="00000000" w:rsidRPr="00000000" w14:paraId="00000046">
      <w:pPr>
        <w:pageBreakBefore w:val="0"/>
        <w:widowControl w:val="0"/>
        <w:ind w:left="1440" w:firstLine="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47">
      <w:pPr>
        <w:pageBreakBefore w:val="0"/>
        <w:widowControl w:val="0"/>
        <w:ind w:left="1440" w:firstLine="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48">
      <w:pPr>
        <w:pageBreakBefore w:val="0"/>
        <w:widowControl w:val="0"/>
        <w:ind w:left="1440" w:firstLine="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49">
      <w:pPr>
        <w:pageBreakBefore w:val="0"/>
        <w:widowControl w:val="0"/>
        <w:ind w:left="1440" w:firstLine="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4A">
      <w:pPr>
        <w:pageBreakBefore w:val="0"/>
        <w:widowControl w:val="0"/>
        <w:ind w:left="1440" w:firstLine="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4B">
      <w:pPr>
        <w:pageBreakBefore w:val="0"/>
        <w:widowControl w:val="0"/>
        <w:ind w:left="1440" w:firstLine="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4C">
      <w:pPr>
        <w:pageBreakBefore w:val="0"/>
        <w:widowControl w:val="0"/>
        <w:ind w:left="1440" w:firstLine="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4D">
      <w:pPr>
        <w:pageBreakBefore w:val="0"/>
        <w:widowControl w:val="0"/>
        <w:ind w:left="1440" w:firstLine="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4E">
      <w:pPr>
        <w:pageBreakBefore w:val="0"/>
        <w:widowControl w:val="0"/>
        <w:ind w:left="1440" w:firstLine="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4F">
      <w:pPr>
        <w:pageBreakBefore w:val="0"/>
        <w:widowControl w:val="0"/>
        <w:rPr>
          <w:rFonts w:ascii="Arial" w:cs="Arial" w:eastAsia="Arial" w:hAnsi="Arial"/>
        </w:rPr>
      </w:pPr>
      <w:r w:rsidDel="00000000" w:rsidR="00000000" w:rsidRPr="00000000">
        <w:rPr>
          <w:rFonts w:ascii="Arial" w:cs="Arial" w:eastAsia="Arial" w:hAnsi="Arial"/>
          <w:rtl w:val="0"/>
        </w:rPr>
        <w:t xml:space="preserve">Just a note for clarification: Microtubule depolymerization events do not always result in a catastrophe. Microtubules can shrink a small amount and then recover to start polymerizing again, which is called a “rescue”. We are not examining those dynamics within this module. </w:t>
      </w:r>
    </w:p>
    <w:p w:rsidR="00000000" w:rsidDel="00000000" w:rsidP="00000000" w:rsidRDefault="00000000" w:rsidRPr="00000000" w14:paraId="00000050">
      <w:pPr>
        <w:pageBreakBefore w:val="0"/>
        <w:widowControl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1">
      <w:pPr>
        <w:pageBreakBefore w:val="0"/>
        <w:widowControl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2">
      <w:pPr>
        <w:pageBreakBefore w:val="0"/>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Based on what you know about the stages of the cell cycle and the role of microtubules during those stages, provide a hypothesis for how these different rates of depolymerization and polymerization relate to the role of microtubules during mitosis.</w:t>
      </w:r>
    </w:p>
    <w:p w:rsidR="00000000" w:rsidDel="00000000" w:rsidP="00000000" w:rsidRDefault="00000000" w:rsidRPr="00000000" w14:paraId="00000053">
      <w:pPr>
        <w:pageBreakBefore w:val="0"/>
        <w:widowControl w:val="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54">
      <w:pPr>
        <w:pageBreakBefore w:val="0"/>
        <w:widowControl w:val="0"/>
        <w:rPr>
          <w:rFonts w:ascii="Arial" w:cs="Arial" w:eastAsia="Arial" w:hAnsi="Arial"/>
          <w:b w:val="1"/>
          <w:color w:val="0000ff"/>
        </w:rPr>
      </w:pPr>
      <w:r w:rsidDel="00000000" w:rsidR="00000000" w:rsidRPr="00000000">
        <w:rPr>
          <w:rFonts w:ascii="Arial" w:cs="Arial" w:eastAsia="Arial" w:hAnsi="Arial"/>
          <w:b w:val="1"/>
          <w:color w:val="0000ff"/>
          <w:rtl w:val="0"/>
        </w:rPr>
        <w:tab/>
      </w:r>
    </w:p>
    <w:p w:rsidR="00000000" w:rsidDel="00000000" w:rsidP="00000000" w:rsidRDefault="00000000" w:rsidRPr="00000000" w14:paraId="00000055">
      <w:pPr>
        <w:pageBreakBefore w:val="0"/>
        <w:widowControl w:val="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56">
      <w:pPr>
        <w:pageBreakBefore w:val="0"/>
        <w:widowControl w:val="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57">
      <w:pPr>
        <w:pageBreakBefore w:val="0"/>
        <w:widowControl w:val="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58">
      <w:pPr>
        <w:pageBreakBefore w:val="0"/>
        <w:widowControl w:val="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59">
      <w:pPr>
        <w:pageBreakBefore w:val="0"/>
        <w:widowControl w:val="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5A">
      <w:pPr>
        <w:pageBreakBefore w:val="0"/>
        <w:widowControl w:val="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5B">
      <w:pPr>
        <w:pageBreakBefore w:val="0"/>
        <w:widowControl w:val="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5C">
      <w:pPr>
        <w:pageBreakBefore w:val="0"/>
        <w:widowControl w:val="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5D">
      <w:pPr>
        <w:pageBreakBefore w:val="0"/>
        <w:widowControl w:val="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5E">
      <w:pPr>
        <w:pageBreakBefore w:val="0"/>
        <w:widowControl w:val="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5F">
      <w:pPr>
        <w:pageBreakBefore w:val="0"/>
        <w:widowControl w:val="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60">
      <w:pPr>
        <w:pageBreakBefore w:val="0"/>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61">
      <w:pPr>
        <w:pageBreakBefore w:val="0"/>
        <w:widowControl w:val="0"/>
        <w:rPr>
          <w:rFonts w:ascii="Arial" w:cs="Arial" w:eastAsia="Arial" w:hAnsi="Arial"/>
          <w:b w:val="1"/>
        </w:rPr>
      </w:pPr>
      <w:r w:rsidDel="00000000" w:rsidR="00000000" w:rsidRPr="00000000">
        <w:rPr>
          <w:rFonts w:ascii="Arial" w:cs="Arial" w:eastAsia="Arial" w:hAnsi="Arial"/>
          <w:b w:val="1"/>
          <w:rtl w:val="0"/>
        </w:rPr>
        <w:t xml:space="preserve">Exercise Part 2 - Applications with Cancer Treatments </w:t>
      </w:r>
    </w:p>
    <w:p w:rsidR="00000000" w:rsidDel="00000000" w:rsidP="00000000" w:rsidRDefault="00000000" w:rsidRPr="00000000" w14:paraId="00000062">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63">
      <w:pPr>
        <w:pageBreakBefore w:val="0"/>
        <w:widowControl w:val="0"/>
        <w:rPr>
          <w:rFonts w:ascii="Arial" w:cs="Arial" w:eastAsia="Arial" w:hAnsi="Arial"/>
        </w:rPr>
      </w:pPr>
      <w:r w:rsidDel="00000000" w:rsidR="00000000" w:rsidRPr="00000000">
        <w:rPr>
          <w:rFonts w:ascii="Arial" w:cs="Arial" w:eastAsia="Arial" w:hAnsi="Arial"/>
          <w:rtl w:val="0"/>
        </w:rPr>
        <w:t xml:space="preserve">As you will learn in our course, cancerous development occurs as a result of multiple disruptions within the cell cycle. Mutations in genes associated with cell cycle progression and cell cycle checkpoints can lead to initiation and progression of cancer. As a result, cancerous cells become capable of dividing uncontrollably and bypassing the normal checkpoints that might lead to apoptosis. </w:t>
      </w:r>
    </w:p>
    <w:p w:rsidR="00000000" w:rsidDel="00000000" w:rsidP="00000000" w:rsidRDefault="00000000" w:rsidRPr="00000000" w14:paraId="00000064">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65">
      <w:pPr>
        <w:pageBreakBefore w:val="0"/>
        <w:widowControl w:val="0"/>
        <w:rPr>
          <w:rFonts w:ascii="Arial" w:cs="Arial" w:eastAsia="Arial" w:hAnsi="Arial"/>
        </w:rPr>
      </w:pPr>
      <w:r w:rsidDel="00000000" w:rsidR="00000000" w:rsidRPr="00000000">
        <w:rPr>
          <w:rFonts w:ascii="Arial" w:cs="Arial" w:eastAsia="Arial" w:hAnsi="Arial"/>
          <w:rtl w:val="0"/>
        </w:rPr>
        <w:t xml:space="preserve">Therefore, many chemotherapy treatments target components of the cell cycle to inhibit cancerous cells from continuously undergoing cell division. We will be talking about two common chemotherapy drug treatments that are both plant alkaloids: taxol and vinblastine. Both of these drugs specifically target microtubules and disrupt their function, but do so in two different ways. </w:t>
      </w:r>
    </w:p>
    <w:p w:rsidR="00000000" w:rsidDel="00000000" w:rsidP="00000000" w:rsidRDefault="00000000" w:rsidRPr="00000000" w14:paraId="00000066">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67">
      <w:pPr>
        <w:pageBreakBefore w:val="0"/>
        <w:widowControl w:val="0"/>
        <w:rPr>
          <w:rFonts w:ascii="Arial" w:cs="Arial" w:eastAsia="Arial" w:hAnsi="Arial"/>
        </w:rPr>
      </w:pPr>
      <w:r w:rsidDel="00000000" w:rsidR="00000000" w:rsidRPr="00000000">
        <w:rPr>
          <w:rFonts w:ascii="Arial" w:cs="Arial" w:eastAsia="Arial" w:hAnsi="Arial"/>
          <w:rtl w:val="0"/>
        </w:rPr>
        <w:t xml:space="preserve">Taxol, or </w:t>
      </w:r>
      <w:r w:rsidDel="00000000" w:rsidR="00000000" w:rsidRPr="00000000">
        <w:rPr>
          <w:rFonts w:ascii="Arial" w:cs="Arial" w:eastAsia="Arial" w:hAnsi="Arial"/>
          <w:highlight w:val="white"/>
          <w:rtl w:val="0"/>
        </w:rPr>
        <w:t xml:space="preserve">paclitaxel,</w:t>
      </w:r>
      <w:r w:rsidDel="00000000" w:rsidR="00000000" w:rsidRPr="00000000">
        <w:rPr>
          <w:rFonts w:ascii="Arial" w:cs="Arial" w:eastAsia="Arial" w:hAnsi="Arial"/>
          <w:rtl w:val="0"/>
        </w:rPr>
        <w:t xml:space="preserve"> was originally identified from the bark of the Pacific yew tree,</w:t>
      </w:r>
      <w:r w:rsidDel="00000000" w:rsidR="00000000" w:rsidRPr="00000000">
        <w:rPr>
          <w:rFonts w:ascii="Arial" w:cs="Arial" w:eastAsia="Arial" w:hAnsi="Arial"/>
          <w:i w:val="1"/>
          <w:highlight w:val="white"/>
          <w:rtl w:val="0"/>
        </w:rPr>
        <w:t xml:space="preserve">Taxus brevifolia</w:t>
      </w:r>
      <w:r w:rsidDel="00000000" w:rsidR="00000000" w:rsidRPr="00000000">
        <w:rPr>
          <w:rFonts w:ascii="Arial" w:cs="Arial" w:eastAsia="Arial" w:hAnsi="Arial"/>
          <w:rtl w:val="0"/>
        </w:rPr>
        <w:t xml:space="preserve">. Taxol binds directly to a hydrophobic pocket of the beta-tubulin portion of the microtubule subunit. Cells exposed to taxol will have abnormal mitosis, which leads to the triggering of apoptosis. </w:t>
      </w:r>
    </w:p>
    <w:p w:rsidR="00000000" w:rsidDel="00000000" w:rsidP="00000000" w:rsidRDefault="00000000" w:rsidRPr="00000000" w14:paraId="00000068">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69">
      <w:pPr>
        <w:pageBreakBefore w:val="0"/>
        <w:widowControl w:val="0"/>
        <w:rPr>
          <w:rFonts w:ascii="Arial" w:cs="Arial" w:eastAsia="Arial" w:hAnsi="Arial"/>
          <w:highlight w:val="white"/>
        </w:rPr>
      </w:pPr>
      <w:r w:rsidDel="00000000" w:rsidR="00000000" w:rsidRPr="00000000">
        <w:rPr>
          <w:rFonts w:ascii="Arial" w:cs="Arial" w:eastAsia="Arial" w:hAnsi="Arial"/>
          <w:rtl w:val="0"/>
        </w:rPr>
        <w:t xml:space="preserve">Vinblastine was originally extracted from the </w:t>
      </w:r>
      <w:r w:rsidDel="00000000" w:rsidR="00000000" w:rsidRPr="00000000">
        <w:rPr>
          <w:rFonts w:ascii="Arial" w:cs="Arial" w:eastAsia="Arial" w:hAnsi="Arial"/>
          <w:highlight w:val="white"/>
          <w:rtl w:val="0"/>
        </w:rPr>
        <w:t xml:space="preserve">periwinkle plant, </w:t>
      </w:r>
      <w:r w:rsidDel="00000000" w:rsidR="00000000" w:rsidRPr="00000000">
        <w:rPr>
          <w:rFonts w:ascii="Arial" w:cs="Arial" w:eastAsia="Arial" w:hAnsi="Arial"/>
          <w:i w:val="1"/>
          <w:highlight w:val="white"/>
          <w:rtl w:val="0"/>
        </w:rPr>
        <w:t xml:space="preserve">Catharanthus rosea</w:t>
      </w:r>
      <w:r w:rsidDel="00000000" w:rsidR="00000000" w:rsidRPr="00000000">
        <w:rPr>
          <w:rFonts w:ascii="Arial" w:cs="Arial" w:eastAsia="Arial" w:hAnsi="Arial"/>
          <w:highlight w:val="white"/>
          <w:rtl w:val="0"/>
        </w:rPr>
        <w:t xml:space="preserve">. Vinblastine binds directly to tubulin as well and has a high affinity for the ends of the microtubules. The impact of vinblastine on microtubules appears to vary by concentration. </w:t>
      </w:r>
    </w:p>
    <w:p w:rsidR="00000000" w:rsidDel="00000000" w:rsidP="00000000" w:rsidRDefault="00000000" w:rsidRPr="00000000" w14:paraId="0000006A">
      <w:pPr>
        <w:pageBreakBefore w:val="0"/>
        <w:widowControl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06B">
      <w:pPr>
        <w:pageBreakBefore w:val="0"/>
        <w:widowControl w:val="0"/>
        <w:rPr>
          <w:rFonts w:ascii="Arial" w:cs="Arial" w:eastAsia="Arial" w:hAnsi="Arial"/>
        </w:rPr>
      </w:pPr>
      <w:r w:rsidDel="00000000" w:rsidR="00000000" w:rsidRPr="00000000">
        <w:rPr>
          <w:rFonts w:ascii="Arial" w:cs="Arial" w:eastAsia="Arial" w:hAnsi="Arial"/>
          <w:highlight w:val="white"/>
          <w:rtl w:val="0"/>
        </w:rPr>
        <w:t xml:space="preserve">We will be examining the impacts of both taxol and vinblastine on microtubule dynamics in the questions below. </w:t>
      </w:r>
      <w:r w:rsidDel="00000000" w:rsidR="00000000" w:rsidRPr="00000000">
        <w:rPr>
          <w:rtl w:val="0"/>
        </w:rPr>
      </w:r>
    </w:p>
    <w:p w:rsidR="00000000" w:rsidDel="00000000" w:rsidP="00000000" w:rsidRDefault="00000000" w:rsidRPr="00000000" w14:paraId="0000006C">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6D">
      <w:pPr>
        <w:pageBreakBefore w:val="0"/>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Compare the changes to microtubule length below for a cell treated with 100 nM taxol to the above graph of an untreated cell.   Which stage is most impacted: polymerization or depolymerization? What is the new rate (μm/min) for the stage that changes?</w:t>
      </w:r>
    </w:p>
    <w:p w:rsidR="00000000" w:rsidDel="00000000" w:rsidP="00000000" w:rsidRDefault="00000000" w:rsidRPr="00000000" w14:paraId="0000006E">
      <w:pPr>
        <w:pageBreakBefore w:val="0"/>
        <w:widowControl w:val="0"/>
        <w:ind w:left="720" w:firstLine="0"/>
        <w:jc w:val="center"/>
        <w:rPr>
          <w:rFonts w:ascii="Arial" w:cs="Arial" w:eastAsia="Arial" w:hAnsi="Arial"/>
          <w:b w:val="1"/>
          <w:color w:val="0000ff"/>
        </w:rPr>
      </w:pPr>
      <w:r w:rsidDel="00000000" w:rsidR="00000000" w:rsidRPr="00000000">
        <w:rPr>
          <w:rFonts w:ascii="Arial" w:cs="Arial" w:eastAsia="Arial" w:hAnsi="Arial"/>
          <w:b w:val="1"/>
          <w:color w:val="0000ff"/>
        </w:rPr>
        <w:drawing>
          <wp:inline distB="114300" distT="114300" distL="114300" distR="114300">
            <wp:extent cx="4424363" cy="2542224"/>
            <wp:effectExtent b="0" l="0" r="0" t="0"/>
            <wp:docPr id="18"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424363" cy="2542224"/>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pageBreakBefore w:val="0"/>
        <w:widowControl w:val="0"/>
        <w:ind w:left="720" w:firstLine="0"/>
        <w:jc w:val="center"/>
        <w:rPr>
          <w:rFonts w:ascii="Arial" w:cs="Arial" w:eastAsia="Arial" w:hAnsi="Arial"/>
          <w:b w:val="1"/>
        </w:rPr>
      </w:pPr>
      <w:r w:rsidDel="00000000" w:rsidR="00000000" w:rsidRPr="00000000">
        <w:rPr>
          <w:rFonts w:ascii="Arial" w:cs="Arial" w:eastAsia="Arial" w:hAnsi="Arial"/>
          <w:b w:val="1"/>
          <w:rtl w:val="0"/>
        </w:rPr>
        <w:t xml:space="preserve">Figure 2.  Changes in microtubule filament length (μm) over time when treated with 100 nM taxol. </w:t>
      </w:r>
    </w:p>
    <w:p w:rsidR="00000000" w:rsidDel="00000000" w:rsidP="00000000" w:rsidRDefault="00000000" w:rsidRPr="00000000" w14:paraId="00000070">
      <w:pPr>
        <w:pageBreakBefore w:val="0"/>
        <w:widowControl w:val="0"/>
        <w:ind w:left="72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71">
      <w:pPr>
        <w:pageBreakBefore w:val="0"/>
        <w:widowControl w:val="0"/>
        <w:ind w:left="72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72">
      <w:pPr>
        <w:pageBreakBefore w:val="0"/>
        <w:widowControl w:val="0"/>
        <w:ind w:left="72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73">
      <w:pPr>
        <w:pageBreakBefore w:val="0"/>
        <w:widowControl w:val="0"/>
        <w:ind w:left="720" w:firstLine="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74">
      <w:pPr>
        <w:pageBreakBefore w:val="0"/>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Based on the observed changes, hypothesize how taxol binding to beta tubulin is physically impacting or changing the components of microtubules. </w:t>
      </w:r>
    </w:p>
    <w:p w:rsidR="00000000" w:rsidDel="00000000" w:rsidP="00000000" w:rsidRDefault="00000000" w:rsidRPr="00000000" w14:paraId="00000075">
      <w:pPr>
        <w:pageBreakBefore w:val="0"/>
        <w:widowControl w:val="0"/>
        <w:ind w:left="720" w:firstLine="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76">
      <w:pPr>
        <w:pageBreakBefore w:val="0"/>
        <w:widowControl w:val="0"/>
        <w:ind w:left="720" w:firstLine="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77">
      <w:pPr>
        <w:pageBreakBefore w:val="0"/>
        <w:widowControl w:val="0"/>
        <w:ind w:left="720" w:firstLine="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78">
      <w:pPr>
        <w:pageBreakBefore w:val="0"/>
        <w:widowControl w:val="0"/>
        <w:ind w:left="720" w:firstLine="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79">
      <w:pPr>
        <w:pageBreakBefore w:val="0"/>
        <w:widowControl w:val="0"/>
        <w:ind w:left="720" w:firstLine="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7A">
      <w:pPr>
        <w:pageBreakBefore w:val="0"/>
        <w:widowControl w:val="0"/>
        <w:ind w:left="720" w:firstLine="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7B">
      <w:pPr>
        <w:pageBreakBefore w:val="0"/>
        <w:widowControl w:val="0"/>
        <w:ind w:left="72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7C">
      <w:pPr>
        <w:pageBreakBefore w:val="0"/>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Compare the changes to microtubule length below for a cell treated with 400 nM vinblastine to the above graph of an untreated cell.   Which stage is most impacted: polymerization or depolymerization? What is the new rate (μm/min) for the stage that changes?</w:t>
      </w:r>
    </w:p>
    <w:p w:rsidR="00000000" w:rsidDel="00000000" w:rsidP="00000000" w:rsidRDefault="00000000" w:rsidRPr="00000000" w14:paraId="0000007D">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7E">
      <w:pPr>
        <w:pageBreakBefore w:val="0"/>
        <w:widowControl w:val="0"/>
        <w:ind w:left="720" w:firstLine="0"/>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4724400" cy="2714625"/>
            <wp:effectExtent b="0" l="0" r="0" t="0"/>
            <wp:docPr id="2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24400" cy="2714625"/>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pageBreakBefore w:val="0"/>
        <w:widowControl w:val="0"/>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80">
      <w:pPr>
        <w:pageBreakBefore w:val="0"/>
        <w:widowControl w:val="0"/>
        <w:ind w:left="720" w:firstLine="0"/>
        <w:jc w:val="center"/>
        <w:rPr>
          <w:rFonts w:ascii="Arial" w:cs="Arial" w:eastAsia="Arial" w:hAnsi="Arial"/>
          <w:b w:val="1"/>
        </w:rPr>
      </w:pPr>
      <w:r w:rsidDel="00000000" w:rsidR="00000000" w:rsidRPr="00000000">
        <w:rPr>
          <w:rFonts w:ascii="Arial" w:cs="Arial" w:eastAsia="Arial" w:hAnsi="Arial"/>
          <w:b w:val="1"/>
          <w:rtl w:val="0"/>
        </w:rPr>
        <w:t xml:space="preserve">Figure 3.  Changes in microtubule filament length (μm) over time when treated with 400 nM vinblastine.</w:t>
      </w:r>
    </w:p>
    <w:p w:rsidR="00000000" w:rsidDel="00000000" w:rsidP="00000000" w:rsidRDefault="00000000" w:rsidRPr="00000000" w14:paraId="00000081">
      <w:pPr>
        <w:pageBreakBefore w:val="0"/>
        <w:widowControl w:val="0"/>
        <w:rPr>
          <w:rFonts w:ascii="Arial" w:cs="Arial" w:eastAsia="Arial" w:hAnsi="Arial"/>
          <w:b w:val="1"/>
          <w:color w:val="ff0000"/>
        </w:rPr>
      </w:pPr>
      <w:r w:rsidDel="00000000" w:rsidR="00000000" w:rsidRPr="00000000">
        <w:rPr>
          <w:rFonts w:ascii="Arial" w:cs="Arial" w:eastAsia="Arial" w:hAnsi="Arial"/>
          <w:b w:val="1"/>
          <w:color w:val="0000ff"/>
          <w:rtl w:val="0"/>
        </w:rPr>
        <w:tab/>
      </w:r>
      <w:r w:rsidDel="00000000" w:rsidR="00000000" w:rsidRPr="00000000">
        <w:rPr>
          <w:rtl w:val="0"/>
        </w:rPr>
      </w:r>
    </w:p>
    <w:p w:rsidR="00000000" w:rsidDel="00000000" w:rsidP="00000000" w:rsidRDefault="00000000" w:rsidRPr="00000000" w14:paraId="00000082">
      <w:pPr>
        <w:pageBreakBefore w:val="0"/>
        <w:widowControl w:val="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83">
      <w:pPr>
        <w:pageBreakBefore w:val="0"/>
        <w:widowControl w:val="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84">
      <w:pPr>
        <w:pageBreakBefore w:val="0"/>
        <w:widowControl w:val="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85">
      <w:pPr>
        <w:pageBreakBefore w:val="0"/>
        <w:widowControl w:val="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86">
      <w:pPr>
        <w:pageBreakBefore w:val="0"/>
        <w:widowControl w:val="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87">
      <w:pPr>
        <w:pageBreakBefore w:val="0"/>
        <w:widowControl w:val="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88">
      <w:pPr>
        <w:pageBreakBefore w:val="0"/>
        <w:widowControl w:val="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89">
      <w:pPr>
        <w:pageBreakBefore w:val="0"/>
        <w:widowControl w:val="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8A">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8B">
      <w:pPr>
        <w:pageBreakBefore w:val="0"/>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Based on the observed changes, hypothesize how vinblastine binding to beta tubulin is physically impacting or changing the components of microtubules.</w:t>
      </w:r>
    </w:p>
    <w:p w:rsidR="00000000" w:rsidDel="00000000" w:rsidP="00000000" w:rsidRDefault="00000000" w:rsidRPr="00000000" w14:paraId="0000008C">
      <w:pPr>
        <w:pageBreakBefore w:val="0"/>
        <w:widowControl w:val="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8D">
      <w:pPr>
        <w:pageBreakBefore w:val="0"/>
        <w:widowControl w:val="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8E">
      <w:pPr>
        <w:pageBreakBefore w:val="0"/>
        <w:widowControl w:val="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8F">
      <w:pPr>
        <w:pageBreakBefore w:val="0"/>
        <w:widowControl w:val="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90">
      <w:pPr>
        <w:pageBreakBefore w:val="0"/>
        <w:widowControl w:val="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91">
      <w:pPr>
        <w:pageBreakBefore w:val="0"/>
        <w:widowControl w:val="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92">
      <w:pPr>
        <w:pageBreakBefore w:val="0"/>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Considering what you know about microtubules and their use in the cell cycle, explain in your own words why it would be a good thing for microtubules to be disrupted by the methods used by taxol and vinblastine in a person who has developed cancerous growth. </w:t>
      </w:r>
    </w:p>
    <w:p w:rsidR="00000000" w:rsidDel="00000000" w:rsidP="00000000" w:rsidRDefault="00000000" w:rsidRPr="00000000" w14:paraId="00000093">
      <w:pPr>
        <w:pageBreakBefore w:val="0"/>
        <w:widowControl w:val="0"/>
        <w:rPr>
          <w:rFonts w:ascii="Arial" w:cs="Arial" w:eastAsia="Arial" w:hAnsi="Arial"/>
          <w:b w:val="1"/>
          <w:color w:val="6aa84f"/>
        </w:rPr>
      </w:pPr>
      <w:r w:rsidDel="00000000" w:rsidR="00000000" w:rsidRPr="00000000">
        <w:rPr>
          <w:rtl w:val="0"/>
        </w:rPr>
      </w:r>
    </w:p>
    <w:p w:rsidR="00000000" w:rsidDel="00000000" w:rsidP="00000000" w:rsidRDefault="00000000" w:rsidRPr="00000000" w14:paraId="00000094">
      <w:pPr>
        <w:pageBreakBefore w:val="0"/>
        <w:widowControl w:val="0"/>
        <w:rPr>
          <w:rFonts w:ascii="Arial" w:cs="Arial" w:eastAsia="Arial" w:hAnsi="Arial"/>
          <w:b w:val="1"/>
          <w:color w:val="ff0000"/>
        </w:rPr>
      </w:pPr>
      <w:r w:rsidDel="00000000" w:rsidR="00000000" w:rsidRPr="00000000">
        <w:rPr>
          <w:rFonts w:ascii="Arial" w:cs="Arial" w:eastAsia="Arial" w:hAnsi="Arial"/>
          <w:b w:val="1"/>
          <w:color w:val="0000ff"/>
          <w:rtl w:val="0"/>
        </w:rPr>
        <w:tab/>
      </w:r>
      <w:r w:rsidDel="00000000" w:rsidR="00000000" w:rsidRPr="00000000">
        <w:rPr>
          <w:rtl w:val="0"/>
        </w:rPr>
      </w:r>
    </w:p>
    <w:p w:rsidR="00000000" w:rsidDel="00000000" w:rsidP="00000000" w:rsidRDefault="00000000" w:rsidRPr="00000000" w14:paraId="00000095">
      <w:pPr>
        <w:pageBreakBefore w:val="0"/>
        <w:widowControl w:val="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96">
      <w:pPr>
        <w:pageBreakBefore w:val="0"/>
        <w:widowControl w:val="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97">
      <w:pPr>
        <w:pageBreakBefore w:val="0"/>
        <w:widowControl w:val="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98">
      <w:pPr>
        <w:pageBreakBefore w:val="0"/>
        <w:widowControl w:val="0"/>
        <w:rPr>
          <w:rFonts w:ascii="Arial" w:cs="Arial" w:eastAsia="Arial" w:hAnsi="Arial"/>
          <w:b w:val="1"/>
          <w:color w:val="ff0000"/>
          <w:sz w:val="20"/>
          <w:szCs w:val="20"/>
          <w:highlight w:val="white"/>
        </w:rPr>
      </w:pPr>
      <w:r w:rsidDel="00000000" w:rsidR="00000000" w:rsidRPr="00000000">
        <w:rPr>
          <w:rtl w:val="0"/>
        </w:rPr>
      </w:r>
    </w:p>
    <w:p w:rsidR="00000000" w:rsidDel="00000000" w:rsidP="00000000" w:rsidRDefault="00000000" w:rsidRPr="00000000" w14:paraId="00000099">
      <w:pPr>
        <w:pageBreakBefore w:val="0"/>
        <w:widowControl w:val="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Challenge/Sponge Question if time:</w:t>
      </w:r>
    </w:p>
    <w:p w:rsidR="00000000" w:rsidDel="00000000" w:rsidP="00000000" w:rsidRDefault="00000000" w:rsidRPr="00000000" w14:paraId="0000009A">
      <w:pPr>
        <w:pageBreakBefore w:val="0"/>
        <w:widowControl w:val="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9B">
      <w:pPr>
        <w:pageBreakBefore w:val="0"/>
        <w:widowControl w:val="0"/>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Using the graph below showing just the depolymerization, first estimate the half-life of this microtubule decay. Then, calculate the half-life of this microtubule decay using the equation below. Follow the procedures discussed in your pre-work and show your work. How does your estimate compare with the calculated value?</w:t>
      </w:r>
    </w:p>
    <w:p w:rsidR="00000000" w:rsidDel="00000000" w:rsidP="00000000" w:rsidRDefault="00000000" w:rsidRPr="00000000" w14:paraId="0000009C">
      <w:pPr>
        <w:pageBreakBefore w:val="0"/>
        <w:widowControl w:val="0"/>
        <w:rPr>
          <w:rFonts w:ascii="Arial" w:cs="Arial" w:eastAsia="Arial" w:hAnsi="Arial"/>
          <w:b w:val="1"/>
          <w:color w:val="666666"/>
        </w:rPr>
      </w:pPr>
      <w:r w:rsidDel="00000000" w:rsidR="00000000" w:rsidRPr="00000000">
        <w:rPr>
          <w:rtl w:val="0"/>
        </w:rPr>
      </w:r>
    </w:p>
    <w:p w:rsidR="00000000" w:rsidDel="00000000" w:rsidP="00000000" w:rsidRDefault="00000000" w:rsidRPr="00000000" w14:paraId="0000009D">
      <w:pPr>
        <w:pageBreakBefore w:val="0"/>
        <w:widowControl w:val="0"/>
        <w:jc w:val="center"/>
        <w:rPr>
          <w:rFonts w:ascii="Arial" w:cs="Arial" w:eastAsia="Arial" w:hAnsi="Arial"/>
          <w:b w:val="1"/>
          <w:color w:val="666666"/>
        </w:rPr>
      </w:pPr>
      <w:r w:rsidDel="00000000" w:rsidR="00000000" w:rsidRPr="00000000">
        <w:rPr>
          <w:rFonts w:ascii="Arial" w:cs="Arial" w:eastAsia="Arial" w:hAnsi="Arial"/>
          <w:b w:val="1"/>
          <w:color w:val="666666"/>
        </w:rPr>
        <w:drawing>
          <wp:inline distB="114300" distT="114300" distL="114300" distR="114300">
            <wp:extent cx="4557713" cy="2850476"/>
            <wp:effectExtent b="0" l="0" r="0" t="0"/>
            <wp:docPr id="1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557713" cy="2850476"/>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pageBreakBefore w:val="0"/>
        <w:widowControl w:val="0"/>
        <w:jc w:val="center"/>
        <w:rPr>
          <w:rFonts w:ascii="Arial" w:cs="Arial" w:eastAsia="Arial" w:hAnsi="Arial"/>
          <w:b w:val="1"/>
          <w:color w:val="666666"/>
        </w:rPr>
      </w:pPr>
      <w:r w:rsidDel="00000000" w:rsidR="00000000" w:rsidRPr="00000000">
        <w:rPr>
          <w:rFonts w:ascii="Arial" w:cs="Arial" w:eastAsia="Arial" w:hAnsi="Arial"/>
          <w:b w:val="1"/>
          <w:color w:val="666666"/>
          <w:rtl w:val="0"/>
        </w:rPr>
        <w:t xml:space="preserve">Figure 2. Changes in microtubule filament length (μm) from 4 - 4.25 minutes only.</w:t>
      </w:r>
    </w:p>
    <w:p w:rsidR="00000000" w:rsidDel="00000000" w:rsidP="00000000" w:rsidRDefault="00000000" w:rsidRPr="00000000" w14:paraId="0000009F">
      <w:pPr>
        <w:pageBreakBefore w:val="0"/>
        <w:widowControl w:val="0"/>
        <w:ind w:left="720" w:firstLine="0"/>
        <w:rPr>
          <w:rFonts w:ascii="Arial" w:cs="Arial" w:eastAsia="Arial" w:hAnsi="Arial"/>
          <w:b w:val="1"/>
          <w:color w:val="666666"/>
        </w:rPr>
      </w:pPr>
      <w:r w:rsidDel="00000000" w:rsidR="00000000" w:rsidRPr="00000000">
        <w:rPr>
          <w:rFonts w:ascii="Arial" w:cs="Arial" w:eastAsia="Arial" w:hAnsi="Arial"/>
          <w:b w:val="1"/>
          <w:color w:val="666666"/>
          <w:rtl w:val="0"/>
        </w:rPr>
        <w:tab/>
      </w:r>
    </w:p>
    <w:p w:rsidR="00000000" w:rsidDel="00000000" w:rsidP="00000000" w:rsidRDefault="00000000" w:rsidRPr="00000000" w14:paraId="000000A0">
      <w:pPr>
        <w:pageBreakBefore w:val="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A1">
      <w:pPr>
        <w:pageBreakBefore w:val="0"/>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A2">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A3">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A4">
      <w:pPr>
        <w:pageBreakBefore w:val="0"/>
        <w:rPr>
          <w:rFonts w:ascii="Arial" w:cs="Arial" w:eastAsia="Arial" w:hAnsi="Arial"/>
          <w:b w:val="1"/>
          <w:color w:val="ff0000"/>
        </w:rPr>
      </w:pPr>
      <w:r w:rsidDel="00000000" w:rsidR="00000000" w:rsidRPr="00000000">
        <w:rPr>
          <w:rFonts w:ascii="Arial" w:cs="Arial" w:eastAsia="Arial" w:hAnsi="Arial"/>
          <w:b w:val="1"/>
          <w:color w:val="ff0000"/>
          <w:rtl w:val="0"/>
        </w:rPr>
        <w:t xml:space="preserve">ACKNOWLEDGMENTS: </w:t>
      </w:r>
    </w:p>
    <w:p w:rsidR="00000000" w:rsidDel="00000000" w:rsidP="00000000" w:rsidRDefault="00000000" w:rsidRPr="00000000" w14:paraId="000000A5">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A6">
      <w:pPr>
        <w:pageBreakBefore w:val="0"/>
        <w:rPr>
          <w:rFonts w:ascii="Arial" w:cs="Arial" w:eastAsia="Arial" w:hAnsi="Arial"/>
        </w:rPr>
      </w:pPr>
      <w:r w:rsidDel="00000000" w:rsidR="00000000" w:rsidRPr="00000000">
        <w:rPr>
          <w:rFonts w:ascii="Arial" w:cs="Arial" w:eastAsia="Arial" w:hAnsi="Arial"/>
          <w:rtl w:val="0"/>
        </w:rPr>
        <w:t xml:space="preserve">Developers: </w:t>
      </w:r>
      <w:r w:rsidDel="00000000" w:rsidR="00000000" w:rsidRPr="00000000">
        <w:rPr>
          <w:rFonts w:ascii="Arial" w:cs="Arial" w:eastAsia="Arial" w:hAnsi="Arial"/>
          <w:rtl w:val="0"/>
        </w:rPr>
        <w:t xml:space="preserve">Hannah Pie (HCC) and Kathleen Hoffman (UMBC). </w:t>
      </w:r>
      <w:r w:rsidDel="00000000" w:rsidR="00000000" w:rsidRPr="00000000">
        <w:rPr>
          <w:rFonts w:ascii="Arial" w:cs="Arial" w:eastAsia="Arial" w:hAnsi="Arial"/>
          <w:rtl w:val="0"/>
        </w:rPr>
        <w:t xml:space="preserve">This module was </w:t>
      </w:r>
      <w:r w:rsidDel="00000000" w:rsidR="00000000" w:rsidRPr="00000000">
        <w:rPr>
          <w:rFonts w:ascii="Arial" w:cs="Arial" w:eastAsia="Arial" w:hAnsi="Arial"/>
          <w:color w:val="000000"/>
          <w:rtl w:val="0"/>
        </w:rPr>
        <w:t xml:space="preserve">developed as part of a collaborative Improving Undergraduate Science Education (IUSE) grant funded by the National Science Foundation that was awarded to Anne Arundel Community College (DUE-</w:t>
      </w:r>
      <w:r w:rsidDel="00000000" w:rsidR="00000000" w:rsidRPr="00000000">
        <w:rPr>
          <w:rFonts w:ascii="Arial" w:cs="Arial" w:eastAsia="Arial" w:hAnsi="Arial"/>
          <w:color w:val="000000"/>
          <w:highlight w:val="white"/>
          <w:rtl w:val="0"/>
        </w:rPr>
        <w:t xml:space="preserve"> 1821179</w:t>
      </w:r>
      <w:r w:rsidDel="00000000" w:rsidR="00000000" w:rsidRPr="00000000">
        <w:rPr>
          <w:rFonts w:ascii="Arial" w:cs="Arial" w:eastAsia="Arial" w:hAnsi="Arial"/>
          <w:color w:val="000000"/>
          <w:rtl w:val="0"/>
        </w:rPr>
        <w:t xml:space="preserve">), Community College of Baltimore County (DUE-</w:t>
      </w:r>
      <w:r w:rsidDel="00000000" w:rsidR="00000000" w:rsidRPr="00000000">
        <w:rPr>
          <w:rFonts w:ascii="Arial" w:cs="Arial" w:eastAsia="Arial" w:hAnsi="Arial"/>
          <w:color w:val="000000"/>
          <w:highlight w:val="white"/>
          <w:rtl w:val="0"/>
        </w:rPr>
        <w:t xml:space="preserve"> 1821249</w:t>
      </w:r>
      <w:r w:rsidDel="00000000" w:rsidR="00000000" w:rsidRPr="00000000">
        <w:rPr>
          <w:rFonts w:ascii="Arial" w:cs="Arial" w:eastAsia="Arial" w:hAnsi="Arial"/>
          <w:color w:val="000000"/>
          <w:rtl w:val="0"/>
        </w:rPr>
        <w:t xml:space="preserve">), Howard Community College (DUE-</w:t>
      </w:r>
      <w:r w:rsidDel="00000000" w:rsidR="00000000" w:rsidRPr="00000000">
        <w:rPr>
          <w:rFonts w:ascii="Arial" w:cs="Arial" w:eastAsia="Arial" w:hAnsi="Arial"/>
          <w:color w:val="000000"/>
          <w:highlight w:val="white"/>
          <w:rtl w:val="0"/>
        </w:rPr>
        <w:t xml:space="preserve"> 1820903</w:t>
      </w:r>
      <w:r w:rsidDel="00000000" w:rsidR="00000000" w:rsidRPr="00000000">
        <w:rPr>
          <w:rFonts w:ascii="Arial" w:cs="Arial" w:eastAsia="Arial" w:hAnsi="Arial"/>
          <w:color w:val="000000"/>
          <w:rtl w:val="0"/>
        </w:rPr>
        <w:t xml:space="preserve">), Montgomery College (DUE-</w:t>
      </w:r>
      <w:r w:rsidDel="00000000" w:rsidR="00000000" w:rsidRPr="00000000">
        <w:rPr>
          <w:rFonts w:ascii="Arial" w:cs="Arial" w:eastAsia="Arial" w:hAnsi="Arial"/>
          <w:color w:val="000000"/>
          <w:highlight w:val="white"/>
          <w:rtl w:val="0"/>
        </w:rPr>
        <w:t xml:space="preserve"> 1821169</w:t>
      </w:r>
      <w:r w:rsidDel="00000000" w:rsidR="00000000" w:rsidRPr="00000000">
        <w:rPr>
          <w:rFonts w:ascii="Arial" w:cs="Arial" w:eastAsia="Arial" w:hAnsi="Arial"/>
          <w:color w:val="000000"/>
          <w:rtl w:val="0"/>
        </w:rPr>
        <w:t xml:space="preserve">), and the University of Maryland, Baltimore County (DUE-1821274).</w:t>
      </w:r>
      <w:r w:rsidDel="00000000" w:rsidR="00000000" w:rsidRPr="00000000">
        <w:rPr>
          <w:rFonts w:ascii="Arial" w:cs="Arial" w:eastAsia="Arial" w:hAnsi="Arial"/>
          <w:rtl w:val="0"/>
        </w:rPr>
        <w:t xml:space="preserve"> Any opinions, findings, and conclusions or recommendations expressed in this material are those of the author(s) and do not necessarily reflect the views of the National Science Foundation</w:t>
      </w:r>
    </w:p>
    <w:p w:rsidR="00000000" w:rsidDel="00000000" w:rsidP="00000000" w:rsidRDefault="00000000" w:rsidRPr="00000000" w14:paraId="000000A7">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A8">
      <w:pPr>
        <w:spacing w:line="276.0005454545455"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REFERENCES</w:t>
      </w:r>
    </w:p>
    <w:p w:rsidR="00000000" w:rsidDel="00000000" w:rsidP="00000000" w:rsidRDefault="00000000" w:rsidRPr="00000000" w14:paraId="000000A9">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AA">
      <w:pPr>
        <w:pageBreakBefore w:val="0"/>
        <w:rPr>
          <w:rFonts w:ascii="Arial" w:cs="Arial" w:eastAsia="Arial" w:hAnsi="Arial"/>
          <w:color w:val="0f1111"/>
          <w:highlight w:val="white"/>
        </w:rPr>
      </w:pPr>
      <w:r w:rsidDel="00000000" w:rsidR="00000000" w:rsidRPr="00000000">
        <w:rPr>
          <w:rFonts w:ascii="Arial" w:cs="Arial" w:eastAsia="Arial" w:hAnsi="Arial"/>
          <w:highlight w:val="white"/>
          <w:rtl w:val="0"/>
        </w:rPr>
        <w:t xml:space="preserve">Alberts, B.,Heald, R., Hopkin, K., Johnson, A. D., Morgan, D., Roberts, K., &amp; Walter, P. (2019). </w:t>
      </w:r>
      <w:r w:rsidDel="00000000" w:rsidR="00000000" w:rsidRPr="00000000">
        <w:rPr>
          <w:rFonts w:ascii="Arial" w:cs="Arial" w:eastAsia="Arial" w:hAnsi="Arial"/>
          <w:i w:val="1"/>
          <w:rtl w:val="0"/>
        </w:rPr>
        <w:t xml:space="preserve">Essential cell biology</w:t>
      </w:r>
      <w:r w:rsidDel="00000000" w:rsidR="00000000" w:rsidRPr="00000000">
        <w:rPr>
          <w:rFonts w:ascii="Arial" w:cs="Arial" w:eastAsia="Arial" w:hAnsi="Arial"/>
          <w:highlight w:val="white"/>
          <w:rtl w:val="0"/>
        </w:rPr>
        <w:t xml:space="preserve"> (5th ed.). </w:t>
      </w:r>
      <w:r w:rsidDel="00000000" w:rsidR="00000000" w:rsidRPr="00000000">
        <w:rPr>
          <w:rFonts w:ascii="Arial" w:cs="Arial" w:eastAsia="Arial" w:hAnsi="Arial"/>
          <w:color w:val="0f1111"/>
          <w:highlight w:val="white"/>
          <w:rtl w:val="0"/>
        </w:rPr>
        <w:t xml:space="preserve">W. W. Norton &amp; Company</w:t>
      </w:r>
    </w:p>
    <w:p w:rsidR="00000000" w:rsidDel="00000000" w:rsidP="00000000" w:rsidRDefault="00000000" w:rsidRPr="00000000" w14:paraId="000000AB">
      <w:pPr>
        <w:pageBreakBefore w:val="0"/>
        <w:rPr>
          <w:rFonts w:ascii="Arial" w:cs="Arial" w:eastAsia="Arial" w:hAnsi="Arial"/>
          <w:color w:val="0f1111"/>
          <w:highlight w:val="white"/>
        </w:rPr>
      </w:pPr>
      <w:r w:rsidDel="00000000" w:rsidR="00000000" w:rsidRPr="00000000">
        <w:rPr>
          <w:rtl w:val="0"/>
        </w:rPr>
      </w:r>
    </w:p>
    <w:p w:rsidR="00000000" w:rsidDel="00000000" w:rsidP="00000000" w:rsidRDefault="00000000" w:rsidRPr="00000000" w14:paraId="000000AC">
      <w:pPr>
        <w:pageBreakBefore w:val="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Brugués, J., Nuzzo, V., Mazur, E., &amp; Needleman, D. J. (2012). Nucleation and transport organize microtubules in metaphase spindles. </w:t>
      </w:r>
      <w:r w:rsidDel="00000000" w:rsidR="00000000" w:rsidRPr="00000000">
        <w:rPr>
          <w:rFonts w:ascii="Arial" w:cs="Arial" w:eastAsia="Arial" w:hAnsi="Arial"/>
          <w:i w:val="1"/>
          <w:color w:val="222222"/>
          <w:highlight w:val="white"/>
          <w:rtl w:val="0"/>
        </w:rPr>
        <w:t xml:space="preserve">Cell</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i w:val="1"/>
          <w:color w:val="222222"/>
          <w:highlight w:val="white"/>
          <w:rtl w:val="0"/>
        </w:rPr>
        <w:t xml:space="preserve">149</w:t>
      </w:r>
      <w:r w:rsidDel="00000000" w:rsidR="00000000" w:rsidRPr="00000000">
        <w:rPr>
          <w:rFonts w:ascii="Arial" w:cs="Arial" w:eastAsia="Arial" w:hAnsi="Arial"/>
          <w:color w:val="222222"/>
          <w:highlight w:val="white"/>
          <w:rtl w:val="0"/>
        </w:rPr>
        <w:t xml:space="preserve">(3), 554-564.</w:t>
      </w:r>
    </w:p>
    <w:p w:rsidR="00000000" w:rsidDel="00000000" w:rsidP="00000000" w:rsidRDefault="00000000" w:rsidRPr="00000000" w14:paraId="000000AD">
      <w:pPr>
        <w:pageBreakBefore w:val="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AE">
      <w:pPr>
        <w:pageBreakBefore w:val="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Fygenson, D. K., Braun, E., &amp; Libchaber, A. (1994). Phase diagram of microtubules. </w:t>
      </w:r>
      <w:r w:rsidDel="00000000" w:rsidR="00000000" w:rsidRPr="00000000">
        <w:rPr>
          <w:rFonts w:ascii="Arial" w:cs="Arial" w:eastAsia="Arial" w:hAnsi="Arial"/>
          <w:i w:val="1"/>
          <w:color w:val="222222"/>
          <w:highlight w:val="white"/>
          <w:rtl w:val="0"/>
        </w:rPr>
        <w:t xml:space="preserve">Physical Review E</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i w:val="1"/>
          <w:color w:val="222222"/>
          <w:highlight w:val="white"/>
          <w:rtl w:val="0"/>
        </w:rPr>
        <w:t xml:space="preserve">50</w:t>
      </w:r>
      <w:r w:rsidDel="00000000" w:rsidR="00000000" w:rsidRPr="00000000">
        <w:rPr>
          <w:rFonts w:ascii="Arial" w:cs="Arial" w:eastAsia="Arial" w:hAnsi="Arial"/>
          <w:color w:val="222222"/>
          <w:highlight w:val="white"/>
          <w:rtl w:val="0"/>
        </w:rPr>
        <w:t xml:space="preserve">(2), 1579.</w:t>
      </w:r>
    </w:p>
    <w:p w:rsidR="00000000" w:rsidDel="00000000" w:rsidP="00000000" w:rsidRDefault="00000000" w:rsidRPr="00000000" w14:paraId="000000AF">
      <w:pPr>
        <w:pageBreakBefore w:val="0"/>
        <w:rPr>
          <w:rFonts w:ascii="Arial" w:cs="Arial" w:eastAsia="Arial" w:hAnsi="Arial"/>
          <w:color w:val="0f1111"/>
          <w:highlight w:val="white"/>
        </w:rPr>
      </w:pPr>
      <w:r w:rsidDel="00000000" w:rsidR="00000000" w:rsidRPr="00000000">
        <w:rPr>
          <w:rtl w:val="0"/>
        </w:rPr>
      </w:r>
    </w:p>
    <w:p w:rsidR="00000000" w:rsidDel="00000000" w:rsidP="00000000" w:rsidRDefault="00000000" w:rsidRPr="00000000" w14:paraId="000000B0">
      <w:pPr>
        <w:pageBreakBefore w:val="0"/>
        <w:rPr>
          <w:rFonts w:ascii="Arial" w:cs="Arial" w:eastAsia="Arial" w:hAnsi="Arial"/>
          <w:highlight w:val="white"/>
        </w:rPr>
      </w:pPr>
      <w:r w:rsidDel="00000000" w:rsidR="00000000" w:rsidRPr="00000000">
        <w:rPr>
          <w:rFonts w:ascii="Arial" w:cs="Arial" w:eastAsia="Arial" w:hAnsi="Arial"/>
          <w:highlight w:val="white"/>
          <w:rtl w:val="0"/>
        </w:rPr>
        <w:t xml:space="preserve">Milo, R., &amp; Phillips, R. (2015). </w:t>
      </w:r>
      <w:r w:rsidDel="00000000" w:rsidR="00000000" w:rsidRPr="00000000">
        <w:rPr>
          <w:rFonts w:ascii="Arial" w:cs="Arial" w:eastAsia="Arial" w:hAnsi="Arial"/>
          <w:highlight w:val="white"/>
          <w:rtl w:val="0"/>
        </w:rPr>
        <w:t xml:space="preserve">What are the rates of cytoskeleton assembly and disassembly? </w:t>
      </w:r>
      <w:r w:rsidDel="00000000" w:rsidR="00000000" w:rsidRPr="00000000">
        <w:rPr>
          <w:rFonts w:ascii="Arial" w:cs="Arial" w:eastAsia="Arial" w:hAnsi="Arial"/>
          <w:highlight w:val="white"/>
          <w:rtl w:val="0"/>
        </w:rPr>
        <w:t xml:space="preserve">In </w:t>
      </w:r>
      <w:r w:rsidDel="00000000" w:rsidR="00000000" w:rsidRPr="00000000">
        <w:rPr>
          <w:rFonts w:ascii="Arial" w:cs="Arial" w:eastAsia="Arial" w:hAnsi="Arial"/>
          <w:i w:val="1"/>
          <w:highlight w:val="white"/>
          <w:rtl w:val="0"/>
        </w:rPr>
        <w:t xml:space="preserve">Cell biology by the numbers</w:t>
      </w:r>
      <w:r w:rsidDel="00000000" w:rsidR="00000000" w:rsidRPr="00000000">
        <w:rPr>
          <w:rFonts w:ascii="Arial" w:cs="Arial" w:eastAsia="Arial" w:hAnsi="Arial"/>
          <w:highlight w:val="white"/>
          <w:rtl w:val="0"/>
        </w:rPr>
        <w:t xml:space="preserve">. Garland Science.</w:t>
      </w:r>
      <w:r w:rsidDel="00000000" w:rsidR="00000000" w:rsidRPr="00000000">
        <w:rPr>
          <w:rtl w:val="0"/>
        </w:rPr>
      </w:r>
    </w:p>
    <w:sectPr>
      <w:headerReference r:id="rId11" w:type="default"/>
      <w:footerReference r:id="rId12" w:type="default"/>
      <w:footerReference r:id="rId13" w:type="even"/>
      <w:pgSz w:h="15840" w:w="12240" w:orient="portrait"/>
      <w:pgMar w:bottom="900" w:top="1440" w:left="153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widowControl w:val="0"/>
      <w:rPr/>
    </w:pPr>
    <w:r w:rsidDel="00000000" w:rsidR="00000000" w:rsidRPr="00000000">
      <w:rPr>
        <w:rFonts w:ascii="Arial" w:cs="Arial" w:eastAsia="Arial" w:hAnsi="Arial"/>
        <w:b w:val="1"/>
        <w:rtl w:val="0"/>
      </w:rPr>
      <w:t xml:space="preserve">CYTOSKELETON - Microtubule Dynamics in the Cell Cycle Group Work</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173DA"/>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lorfulList-Accent11" w:customStyle="1">
    <w:name w:val="Colorful List - Accent 11"/>
    <w:basedOn w:val="Normal"/>
    <w:uiPriority w:val="34"/>
    <w:qFormat w:val="1"/>
    <w:rsid w:val="006B3D85"/>
    <w:pPr>
      <w:ind w:left="720"/>
      <w:contextualSpacing w:val="1"/>
    </w:pPr>
  </w:style>
  <w:style w:type="character" w:styleId="Hyperlink">
    <w:name w:val="Hyperlink"/>
    <w:basedOn w:val="DefaultParagraphFont"/>
    <w:uiPriority w:val="99"/>
    <w:semiHidden w:val="1"/>
    <w:unhideWhenUsed w:val="1"/>
    <w:rsid w:val="003833C3"/>
    <w:rPr>
      <w:color w:val="0000ff"/>
      <w:u w:val="single"/>
    </w:rPr>
  </w:style>
  <w:style w:type="character" w:styleId="FollowedHyperlink">
    <w:name w:val="FollowedHyperlink"/>
    <w:basedOn w:val="DefaultParagraphFont"/>
    <w:uiPriority w:val="99"/>
    <w:semiHidden w:val="1"/>
    <w:unhideWhenUsed w:val="1"/>
    <w:rsid w:val="003833C3"/>
    <w:rPr>
      <w:color w:val="800080"/>
      <w:u w:val="single"/>
    </w:rPr>
  </w:style>
  <w:style w:type="paragraph" w:styleId="BalloonText">
    <w:name w:val="Balloon Text"/>
    <w:basedOn w:val="Normal"/>
    <w:link w:val="BalloonTextChar"/>
    <w:uiPriority w:val="99"/>
    <w:semiHidden w:val="1"/>
    <w:unhideWhenUsed w:val="1"/>
    <w:rsid w:val="00722AF0"/>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722AF0"/>
    <w:rPr>
      <w:rFonts w:ascii="Lucida Grande" w:hAnsi="Lucida Grande"/>
      <w:sz w:val="18"/>
      <w:szCs w:val="18"/>
    </w:rPr>
  </w:style>
  <w:style w:type="character" w:styleId="CommentReference">
    <w:name w:val="annotation reference"/>
    <w:basedOn w:val="DefaultParagraphFont"/>
    <w:uiPriority w:val="99"/>
    <w:semiHidden w:val="1"/>
    <w:unhideWhenUsed w:val="1"/>
    <w:rsid w:val="000165C9"/>
    <w:rPr>
      <w:sz w:val="18"/>
      <w:szCs w:val="18"/>
    </w:rPr>
  </w:style>
  <w:style w:type="paragraph" w:styleId="CommentText">
    <w:name w:val="annotation text"/>
    <w:basedOn w:val="Normal"/>
    <w:link w:val="CommentTextChar"/>
    <w:uiPriority w:val="99"/>
    <w:semiHidden w:val="1"/>
    <w:unhideWhenUsed w:val="1"/>
    <w:rsid w:val="000165C9"/>
  </w:style>
  <w:style w:type="character" w:styleId="CommentTextChar" w:customStyle="1">
    <w:name w:val="Comment Text Char"/>
    <w:basedOn w:val="DefaultParagraphFont"/>
    <w:link w:val="CommentText"/>
    <w:uiPriority w:val="99"/>
    <w:semiHidden w:val="1"/>
    <w:rsid w:val="000165C9"/>
    <w:rPr>
      <w:sz w:val="24"/>
      <w:szCs w:val="24"/>
    </w:rPr>
  </w:style>
  <w:style w:type="paragraph" w:styleId="CommentSubject">
    <w:name w:val="annotation subject"/>
    <w:basedOn w:val="CommentText"/>
    <w:next w:val="CommentText"/>
    <w:link w:val="CommentSubjectChar"/>
    <w:uiPriority w:val="99"/>
    <w:semiHidden w:val="1"/>
    <w:unhideWhenUsed w:val="1"/>
    <w:rsid w:val="000165C9"/>
    <w:rPr>
      <w:b w:val="1"/>
      <w:bCs w:val="1"/>
      <w:sz w:val="20"/>
      <w:szCs w:val="20"/>
    </w:rPr>
  </w:style>
  <w:style w:type="character" w:styleId="CommentSubjectChar" w:customStyle="1">
    <w:name w:val="Comment Subject Char"/>
    <w:basedOn w:val="CommentTextChar"/>
    <w:link w:val="CommentSubject"/>
    <w:uiPriority w:val="99"/>
    <w:semiHidden w:val="1"/>
    <w:rsid w:val="000165C9"/>
    <w:rPr>
      <w:b w:val="1"/>
      <w:bCs w:val="1"/>
      <w:sz w:val="24"/>
      <w:szCs w:val="24"/>
    </w:rPr>
  </w:style>
  <w:style w:type="paragraph" w:styleId="Footer">
    <w:name w:val="footer"/>
    <w:basedOn w:val="Normal"/>
    <w:link w:val="FooterChar"/>
    <w:uiPriority w:val="99"/>
    <w:semiHidden w:val="1"/>
    <w:unhideWhenUsed w:val="1"/>
    <w:rsid w:val="0072545F"/>
    <w:pPr>
      <w:tabs>
        <w:tab w:val="center" w:pos="4320"/>
        <w:tab w:val="right" w:pos="8640"/>
      </w:tabs>
    </w:pPr>
  </w:style>
  <w:style w:type="character" w:styleId="FooterChar" w:customStyle="1">
    <w:name w:val="Footer Char"/>
    <w:basedOn w:val="DefaultParagraphFont"/>
    <w:link w:val="Footer"/>
    <w:uiPriority w:val="99"/>
    <w:semiHidden w:val="1"/>
    <w:rsid w:val="0072545F"/>
    <w:rPr>
      <w:sz w:val="24"/>
      <w:szCs w:val="24"/>
    </w:rPr>
  </w:style>
  <w:style w:type="character" w:styleId="PageNumber">
    <w:name w:val="page number"/>
    <w:basedOn w:val="DefaultParagraphFont"/>
    <w:uiPriority w:val="99"/>
    <w:semiHidden w:val="1"/>
    <w:unhideWhenUsed w:val="1"/>
    <w:rsid w:val="0072545F"/>
  </w:style>
  <w:style w:type="table" w:styleId="TableGrid">
    <w:name w:val="Table Grid"/>
    <w:basedOn w:val="TableNormal"/>
    <w:uiPriority w:val="59"/>
    <w:rsid w:val="006F270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63"/>
    <w:qFormat w:val="1"/>
    <w:rsid w:val="006F270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KAaxABxEAnvOlDLmYyrdrt6+A==">CgMxLjA4AHIhMXNlWTMzLTEzQ1AxblRZSFBYWW85MjNOakJXanp3T19o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2019-05-24T16:46:00Z</dcterms:created>
  <dc:creator>ACHUTH PADMANABHAN</dc:creator>
</cp:coreProperties>
</file>