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63A7F" w14:textId="77777777" w:rsidR="00FA78BC" w:rsidRDefault="00E85B67">
      <w:pPr>
        <w:jc w:val="center"/>
        <w:rPr>
          <w:b/>
        </w:rPr>
      </w:pPr>
      <w:r>
        <w:rPr>
          <w:b/>
        </w:rPr>
        <w:t>Teaching Notes</w:t>
      </w:r>
      <w:r w:rsidR="00071EBB">
        <w:rPr>
          <w:b/>
        </w:rPr>
        <w:t>: Maria vs Malaria</w:t>
      </w:r>
    </w:p>
    <w:p w14:paraId="562EFBB1" w14:textId="77777777" w:rsidR="00FA78BC" w:rsidRDefault="00FA78BC">
      <w:pPr>
        <w:jc w:val="center"/>
      </w:pPr>
    </w:p>
    <w:p w14:paraId="637AA22B" w14:textId="77777777" w:rsidR="00FA78BC" w:rsidRDefault="00E85B67">
      <w:pPr>
        <w:numPr>
          <w:ilvl w:val="0"/>
          <w:numId w:val="3"/>
        </w:numPr>
        <w:rPr>
          <w:b/>
        </w:rPr>
      </w:pPr>
      <w:bookmarkStart w:id="0" w:name="_heading=h.gjdgxs" w:colFirst="0" w:colLast="0"/>
      <w:bookmarkEnd w:id="0"/>
      <w:r>
        <w:rPr>
          <w:b/>
          <w:u w:val="single"/>
        </w:rPr>
        <w:t>About the Author(s)</w:t>
      </w:r>
    </w:p>
    <w:p w14:paraId="72AC48E6" w14:textId="77777777" w:rsidR="00FA78BC" w:rsidRDefault="00E85B67">
      <w:pPr>
        <w:numPr>
          <w:ilvl w:val="0"/>
          <w:numId w:val="12"/>
        </w:numPr>
      </w:pPr>
      <w:r>
        <w:rPr>
          <w:b/>
        </w:rPr>
        <w:t>Name</w:t>
      </w:r>
      <w:r>
        <w:t xml:space="preserve">: </w:t>
      </w:r>
      <w:proofErr w:type="spellStart"/>
      <w:r>
        <w:rPr>
          <w:color w:val="0000FF"/>
        </w:rPr>
        <w:t>Didem</w:t>
      </w:r>
      <w:proofErr w:type="spellEnd"/>
      <w:r>
        <w:rPr>
          <w:color w:val="0000FF"/>
        </w:rPr>
        <w:t xml:space="preserve"> Vardar-Ulu, Serena Yu, Alicia Lau, Molly </w:t>
      </w:r>
      <w:proofErr w:type="spellStart"/>
      <w:r>
        <w:rPr>
          <w:color w:val="0000FF"/>
        </w:rPr>
        <w:t>Szpakowski</w:t>
      </w:r>
      <w:proofErr w:type="spellEnd"/>
      <w:r>
        <w:rPr>
          <w:color w:val="0000FF"/>
        </w:rPr>
        <w:t xml:space="preserve"> </w:t>
      </w:r>
      <w:r>
        <w:t xml:space="preserve"> </w:t>
      </w:r>
    </w:p>
    <w:p w14:paraId="5675945E" w14:textId="77777777" w:rsidR="00FA78BC" w:rsidRDefault="00E85B67">
      <w:pPr>
        <w:numPr>
          <w:ilvl w:val="0"/>
          <w:numId w:val="12"/>
        </w:numPr>
      </w:pPr>
      <w:r>
        <w:rPr>
          <w:b/>
        </w:rPr>
        <w:t>Affiliation</w:t>
      </w:r>
      <w:r>
        <w:t xml:space="preserve">: </w:t>
      </w:r>
      <w:r>
        <w:rPr>
          <w:color w:val="0000FF"/>
        </w:rPr>
        <w:t>Boston University, Department of Chemistry</w:t>
      </w:r>
      <w:r>
        <w:t xml:space="preserve"> </w:t>
      </w:r>
    </w:p>
    <w:p w14:paraId="77C9BAE1" w14:textId="77777777" w:rsidR="00FA78BC" w:rsidRDefault="00E85B67">
      <w:pPr>
        <w:numPr>
          <w:ilvl w:val="0"/>
          <w:numId w:val="12"/>
        </w:numPr>
      </w:pPr>
      <w:r>
        <w:rPr>
          <w:b/>
        </w:rPr>
        <w:t>Contact information</w:t>
      </w:r>
      <w:r>
        <w:t xml:space="preserve">: </w:t>
      </w:r>
      <w:r>
        <w:rPr>
          <w:color w:val="0000FF"/>
        </w:rPr>
        <w:t>dvardar@bu.edu</w:t>
      </w:r>
    </w:p>
    <w:p w14:paraId="111336B0" w14:textId="77777777" w:rsidR="00FA78BC" w:rsidRDefault="00FA78BC"/>
    <w:p w14:paraId="2925B59C" w14:textId="77777777" w:rsidR="00FA78BC" w:rsidRDefault="00E85B67">
      <w:pPr>
        <w:numPr>
          <w:ilvl w:val="0"/>
          <w:numId w:val="3"/>
        </w:numPr>
        <w:rPr>
          <w:b/>
        </w:rPr>
      </w:pPr>
      <w:r>
        <w:rPr>
          <w:b/>
          <w:u w:val="single"/>
        </w:rPr>
        <w:t>About the Molecular Case Study:</w:t>
      </w:r>
    </w:p>
    <w:p w14:paraId="26B4F9F0" w14:textId="77777777" w:rsidR="00FA78BC" w:rsidRDefault="00E85B67">
      <w:pPr>
        <w:numPr>
          <w:ilvl w:val="0"/>
          <w:numId w:val="13"/>
        </w:numPr>
      </w:pPr>
      <w:r>
        <w:rPr>
          <w:b/>
        </w:rPr>
        <w:t>Case Title</w:t>
      </w:r>
      <w:r>
        <w:t xml:space="preserve">: </w:t>
      </w:r>
      <w:r>
        <w:rPr>
          <w:color w:val="0000FF"/>
        </w:rPr>
        <w:t>Maria vs Malaria</w:t>
      </w:r>
    </w:p>
    <w:p w14:paraId="07E544FB" w14:textId="77777777" w:rsidR="00FA78BC" w:rsidRDefault="00E85B67">
      <w:pPr>
        <w:numPr>
          <w:ilvl w:val="0"/>
          <w:numId w:val="13"/>
        </w:numPr>
      </w:pPr>
      <w:r>
        <w:rPr>
          <w:b/>
        </w:rPr>
        <w:t xml:space="preserve">Discipline(s): </w:t>
      </w:r>
      <w:r>
        <w:rPr>
          <w:color w:val="0000FF"/>
        </w:rPr>
        <w:t>Biochemistry</w:t>
      </w:r>
    </w:p>
    <w:p w14:paraId="01940E08" w14:textId="28278524" w:rsidR="00FA78BC" w:rsidRDefault="00E85B67">
      <w:pPr>
        <w:numPr>
          <w:ilvl w:val="0"/>
          <w:numId w:val="13"/>
        </w:numPr>
      </w:pPr>
      <w:r>
        <w:rPr>
          <w:b/>
        </w:rPr>
        <w:t>Keywords</w:t>
      </w:r>
      <w:r>
        <w:t>:</w:t>
      </w:r>
      <w:r>
        <w:rPr>
          <w:i/>
        </w:rPr>
        <w:t xml:space="preserve"> </w:t>
      </w:r>
      <w:r>
        <w:rPr>
          <w:color w:val="0000FF"/>
        </w:rPr>
        <w:t xml:space="preserve">Lactate Dehydrogenase (LDH), malaria, competitive inhibitor, </w:t>
      </w:r>
      <w:r w:rsidR="00B75C55">
        <w:rPr>
          <w:color w:val="0000FF"/>
        </w:rPr>
        <w:t>Azole</w:t>
      </w:r>
      <w:r>
        <w:tab/>
      </w:r>
    </w:p>
    <w:p w14:paraId="27EAE8E7" w14:textId="77777777" w:rsidR="00FA78BC" w:rsidRDefault="00E85B67">
      <w:pPr>
        <w:numPr>
          <w:ilvl w:val="0"/>
          <w:numId w:val="13"/>
        </w:numPr>
      </w:pPr>
      <w:r>
        <w:rPr>
          <w:b/>
        </w:rPr>
        <w:t>Abstract</w:t>
      </w:r>
      <w:r>
        <w:t xml:space="preserve">: </w:t>
      </w:r>
    </w:p>
    <w:p w14:paraId="79F5AEE5" w14:textId="77777777" w:rsidR="00FA78BC" w:rsidRDefault="00E85B67">
      <w:pPr>
        <w:ind w:left="720"/>
        <w:rPr>
          <w:color w:val="0000FF"/>
        </w:rPr>
      </w:pPr>
      <w:r>
        <w:rPr>
          <w:color w:val="0000FF"/>
        </w:rPr>
        <w:t xml:space="preserve">The case discusses an environmental scientist Maria’s search for an antimalarial drug treatment after she contracts Malaria during her research trip to the Amazon Rainforest.  The case begins with her confirming that her symptoms were from Malaria via rapid diagnostic and then her doctors identifying the specific Malaria parasite to be </w:t>
      </w:r>
      <w:r>
        <w:rPr>
          <w:i/>
          <w:color w:val="0000FF"/>
        </w:rPr>
        <w:t xml:space="preserve">Plasmodium falciparum. </w:t>
      </w:r>
      <w:r>
        <w:rPr>
          <w:color w:val="0000FF"/>
        </w:rPr>
        <w:t xml:space="preserve">Through information she received from her colleague at the Center for Disease Control (CDC) and her own research, she starts focusing on a newly identified Lactate Dehydrogenase inhibitor to determine if it could be used as a safe and effective treatment for Malaria.  The case explores the structure-function relationship of the critical metabolic enzyme Lactate Dehydrogenase and exemplifies how small molecular differences between the active sites of the same enzyme from two different organisms (in this case </w:t>
      </w:r>
      <w:r>
        <w:rPr>
          <w:i/>
          <w:color w:val="0000FF"/>
        </w:rPr>
        <w:t>Plasmodium Falciparum</w:t>
      </w:r>
      <w:r>
        <w:rPr>
          <w:b/>
          <w:i/>
          <w:color w:val="0000FF"/>
        </w:rPr>
        <w:t xml:space="preserve"> </w:t>
      </w:r>
      <w:r>
        <w:rPr>
          <w:color w:val="0000FF"/>
        </w:rPr>
        <w:t>and human)</w:t>
      </w:r>
      <w:r>
        <w:rPr>
          <w:rFonts w:ascii="Times New Roman" w:eastAsia="Times New Roman" w:hAnsi="Times New Roman" w:cs="Times New Roman"/>
          <w:b/>
          <w:i/>
          <w:sz w:val="28"/>
          <w:szCs w:val="28"/>
        </w:rPr>
        <w:t xml:space="preserve"> </w:t>
      </w:r>
      <w:r>
        <w:rPr>
          <w:color w:val="0000FF"/>
        </w:rPr>
        <w:t xml:space="preserve">could be leveraged to develop selective competitive inhibitors of the enzyme to provide safe and effective drug treatments.  </w:t>
      </w:r>
    </w:p>
    <w:p w14:paraId="61438FBF" w14:textId="77777777" w:rsidR="00FA78BC" w:rsidRDefault="00FA78BC">
      <w:pPr>
        <w:ind w:left="720"/>
        <w:rPr>
          <w:highlight w:val="yellow"/>
        </w:rPr>
      </w:pPr>
    </w:p>
    <w:p w14:paraId="77EE810D" w14:textId="77777777" w:rsidR="00FA78BC" w:rsidRDefault="00E85B67">
      <w:pPr>
        <w:numPr>
          <w:ilvl w:val="0"/>
          <w:numId w:val="13"/>
        </w:numPr>
      </w:pPr>
      <w:r>
        <w:rPr>
          <w:b/>
        </w:rPr>
        <w:t>Molecules explored</w:t>
      </w:r>
      <w:r>
        <w:t xml:space="preserve">: </w:t>
      </w:r>
    </w:p>
    <w:p w14:paraId="13D9DACB" w14:textId="77777777" w:rsidR="00FA78BC" w:rsidRDefault="00E85B67">
      <w:pPr>
        <w:widowControl w:val="0"/>
        <w:ind w:left="820"/>
      </w:pPr>
      <w:r>
        <w:rPr>
          <w:color w:val="0000FF"/>
        </w:rPr>
        <w:t>The primary molecule studied in this case is Lactate Dehydrogenase. Visualization and exploration of both the parasitic and human structures of this enzyme are carried out throughout the case.  The other two important molecules visualized are the coenzyme NADH (</w:t>
      </w:r>
      <w:r>
        <w:rPr>
          <w:color w:val="0000FF"/>
          <w:highlight w:val="white"/>
        </w:rPr>
        <w:t>Nicotinamide adenine dinucleotide</w:t>
      </w:r>
      <w:r>
        <w:rPr>
          <w:color w:val="0000FF"/>
        </w:rPr>
        <w:t>) and the competitive inhibitor</w:t>
      </w:r>
    </w:p>
    <w:p w14:paraId="27AB5605" w14:textId="77777777" w:rsidR="00FA78BC" w:rsidRDefault="00FA78BC"/>
    <w:p w14:paraId="730FC119" w14:textId="77777777" w:rsidR="00FA78BC" w:rsidRDefault="00E85B67">
      <w:pPr>
        <w:numPr>
          <w:ilvl w:val="0"/>
          <w:numId w:val="3"/>
        </w:numPr>
        <w:rPr>
          <w:b/>
        </w:rPr>
      </w:pPr>
      <w:r>
        <w:rPr>
          <w:b/>
          <w:u w:val="single"/>
        </w:rPr>
        <w:t>About the Course:</w:t>
      </w:r>
    </w:p>
    <w:p w14:paraId="3E6FE0A1" w14:textId="77777777" w:rsidR="00FA78BC" w:rsidRDefault="00071EBB">
      <w:pPr>
        <w:ind w:left="720"/>
        <w:rPr>
          <w:i/>
        </w:rPr>
      </w:pPr>
      <w:r>
        <w:rPr>
          <w:i/>
        </w:rPr>
        <w:t>Use this information for</w:t>
      </w:r>
      <w:r w:rsidR="00E85B67">
        <w:rPr>
          <w:i/>
        </w:rPr>
        <w:t xml:space="preserve"> planning the implementation of this molecular case study.</w:t>
      </w:r>
    </w:p>
    <w:p w14:paraId="650966C3" w14:textId="77777777" w:rsidR="00FA78BC" w:rsidRDefault="00E85B67">
      <w:pPr>
        <w:numPr>
          <w:ilvl w:val="0"/>
          <w:numId w:val="2"/>
        </w:numPr>
      </w:pPr>
      <w:r>
        <w:rPr>
          <w:b/>
        </w:rPr>
        <w:t>Department</w:t>
      </w:r>
      <w:r>
        <w:t xml:space="preserve">: </w:t>
      </w:r>
      <w:r>
        <w:rPr>
          <w:color w:val="0000FF"/>
        </w:rPr>
        <w:t>Chemistry</w:t>
      </w:r>
    </w:p>
    <w:p w14:paraId="34B844B8" w14:textId="77777777" w:rsidR="00FA78BC" w:rsidRDefault="00E85B67">
      <w:pPr>
        <w:numPr>
          <w:ilvl w:val="0"/>
          <w:numId w:val="2"/>
        </w:numPr>
      </w:pPr>
      <w:r>
        <w:rPr>
          <w:b/>
        </w:rPr>
        <w:t>Course Name</w:t>
      </w:r>
      <w:r>
        <w:t xml:space="preserve">: </w:t>
      </w:r>
      <w:r>
        <w:rPr>
          <w:color w:val="0000FF"/>
        </w:rPr>
        <w:t>Principles of Biochemistry</w:t>
      </w:r>
    </w:p>
    <w:p w14:paraId="1C3126AE" w14:textId="77777777" w:rsidR="00FA78BC" w:rsidRDefault="00E85B67">
      <w:pPr>
        <w:numPr>
          <w:ilvl w:val="0"/>
          <w:numId w:val="2"/>
        </w:numPr>
      </w:pPr>
      <w:r>
        <w:rPr>
          <w:b/>
        </w:rPr>
        <w:t>Audience</w:t>
      </w:r>
      <w:r>
        <w:t xml:space="preserve">: </w:t>
      </w:r>
      <w:r>
        <w:rPr>
          <w:b/>
          <w:color w:val="0000FF"/>
        </w:rPr>
        <w:t xml:space="preserve"> </w:t>
      </w:r>
      <w:r>
        <w:rPr>
          <w:color w:val="0000FF"/>
        </w:rPr>
        <w:t xml:space="preserve">Undergraduate </w:t>
      </w:r>
      <w:r>
        <w:rPr>
          <w:b/>
        </w:rPr>
        <w:t xml:space="preserve"> </w:t>
      </w:r>
    </w:p>
    <w:p w14:paraId="24A5A0E7" w14:textId="77777777" w:rsidR="00FA78BC" w:rsidRDefault="00E85B67">
      <w:pPr>
        <w:numPr>
          <w:ilvl w:val="0"/>
          <w:numId w:val="2"/>
        </w:numPr>
      </w:pPr>
      <w:r>
        <w:rPr>
          <w:b/>
        </w:rPr>
        <w:t>Level</w:t>
      </w:r>
      <w:r>
        <w:t xml:space="preserve">: </w:t>
      </w:r>
      <w:r>
        <w:tab/>
      </w:r>
      <w:r>
        <w:rPr>
          <w:color w:val="0000FF"/>
        </w:rPr>
        <w:t xml:space="preserve">Upper Division, STEM Majors </w:t>
      </w:r>
    </w:p>
    <w:p w14:paraId="011A8089" w14:textId="77777777" w:rsidR="00FA78BC" w:rsidRDefault="00E85B67">
      <w:pPr>
        <w:ind w:left="720"/>
        <w:rPr>
          <w:color w:val="0000FF"/>
        </w:rPr>
      </w:pPr>
      <w:r>
        <w:rPr>
          <w:color w:val="0000FF"/>
        </w:rPr>
        <w:t>Note: The audience for this course was juniors and seniors but the course was an introductory biochemistry course.</w:t>
      </w:r>
    </w:p>
    <w:p w14:paraId="70C1A73D" w14:textId="77777777" w:rsidR="00FA78BC" w:rsidRDefault="00E85B67">
      <w:pPr>
        <w:numPr>
          <w:ilvl w:val="0"/>
          <w:numId w:val="2"/>
        </w:numPr>
      </w:pPr>
      <w:r>
        <w:rPr>
          <w:b/>
        </w:rPr>
        <w:t>How does this case study and molecular visualization fit into the course curriculum?</w:t>
      </w:r>
      <w:r>
        <w:t xml:space="preserve"> </w:t>
      </w:r>
    </w:p>
    <w:p w14:paraId="5039B417" w14:textId="77777777" w:rsidR="00FA78BC" w:rsidRDefault="00E85B67">
      <w:pPr>
        <w:widowControl w:val="0"/>
        <w:spacing w:before="4" w:line="240" w:lineRule="auto"/>
        <w:ind w:left="460"/>
        <w:rPr>
          <w:color w:val="0000FF"/>
        </w:rPr>
      </w:pPr>
      <w:r>
        <w:rPr>
          <w:color w:val="0000FF"/>
        </w:rPr>
        <w:t xml:space="preserve">The course covers protein structure, function, with a dedicated module on enzyme kinetics </w:t>
      </w:r>
      <w:r>
        <w:rPr>
          <w:color w:val="0000FF"/>
        </w:rPr>
        <w:lastRenderedPageBreak/>
        <w:t xml:space="preserve">and function, including a detailed coverage of active site structure, substrate binding, catalytic </w:t>
      </w:r>
      <w:r w:rsidR="00071EBB">
        <w:rPr>
          <w:color w:val="0000FF"/>
        </w:rPr>
        <w:t>mechanisms,</w:t>
      </w:r>
      <w:r>
        <w:rPr>
          <w:color w:val="0000FF"/>
        </w:rPr>
        <w:t xml:space="preserve"> and different types of enzyme inhibition, followed by carbohydrate metabolism. This case is used at the beginning of the carbohydrate metabolism unit right after the completion of the enzymes unit to reinforce concepts on enzyme structure function through an important enzyme in carbohydrate metabolism.</w:t>
      </w:r>
    </w:p>
    <w:p w14:paraId="50BEAF25" w14:textId="77777777" w:rsidR="00FA78BC" w:rsidRDefault="00FA78BC">
      <w:pPr>
        <w:widowControl w:val="0"/>
        <w:spacing w:before="4" w:line="240" w:lineRule="auto"/>
        <w:ind w:left="460"/>
        <w:rPr>
          <w:color w:val="0000FF"/>
        </w:rPr>
      </w:pPr>
    </w:p>
    <w:p w14:paraId="3E5201A6" w14:textId="77777777" w:rsidR="00FA78BC" w:rsidRDefault="00E85B67">
      <w:pPr>
        <w:ind w:firstLine="450"/>
        <w:rPr>
          <w:b/>
        </w:rPr>
      </w:pPr>
      <w:r>
        <w:rPr>
          <w:b/>
        </w:rPr>
        <w:t xml:space="preserve">4. </w:t>
      </w:r>
      <w:r>
        <w:rPr>
          <w:b/>
          <w:u w:val="single"/>
        </w:rPr>
        <w:t>Societal Relevance</w:t>
      </w:r>
      <w:r>
        <w:rPr>
          <w:b/>
        </w:rPr>
        <w:t>:</w:t>
      </w:r>
    </w:p>
    <w:p w14:paraId="469759BD" w14:textId="77777777" w:rsidR="00FA78BC" w:rsidRDefault="00E85B67">
      <w:pPr>
        <w:ind w:left="450"/>
        <w:rPr>
          <w:color w:val="0000FF"/>
        </w:rPr>
      </w:pPr>
      <w:r>
        <w:rPr>
          <w:color w:val="0000FF"/>
        </w:rPr>
        <w:t xml:space="preserve">The main character is a woman researcher who contracts a neglected tropical disease during her trip for work.  Using suggestions and pointers from her colleague in the </w:t>
      </w:r>
      <w:r w:rsidR="00071EBB">
        <w:rPr>
          <w:color w:val="0000FF"/>
        </w:rPr>
        <w:t>CDC (</w:t>
      </w:r>
      <w:r>
        <w:rPr>
          <w:color w:val="0000FF"/>
        </w:rPr>
        <w:t xml:space="preserve">a national information site) she sets out to do her own research to participate in her own treatment. </w:t>
      </w:r>
    </w:p>
    <w:p w14:paraId="375A7E81" w14:textId="77777777" w:rsidR="00FA78BC" w:rsidRDefault="00FA78BC">
      <w:pPr>
        <w:rPr>
          <w:b/>
          <w:u w:val="single"/>
        </w:rPr>
      </w:pPr>
    </w:p>
    <w:p w14:paraId="25B3E259" w14:textId="77777777" w:rsidR="00FA78BC" w:rsidRDefault="00E85B67">
      <w:pPr>
        <w:numPr>
          <w:ilvl w:val="0"/>
          <w:numId w:val="4"/>
        </w:numPr>
        <w:rPr>
          <w:b/>
        </w:rPr>
      </w:pPr>
      <w:r>
        <w:rPr>
          <w:b/>
          <w:u w:val="single"/>
        </w:rPr>
        <w:t xml:space="preserve"> LEARNING GOALS </w:t>
      </w:r>
    </w:p>
    <w:p w14:paraId="00FF2EC0" w14:textId="77777777" w:rsidR="00FA78BC" w:rsidRDefault="00E85B67">
      <w:pPr>
        <w:rPr>
          <w:i/>
        </w:rPr>
      </w:pPr>
      <w:r>
        <w:rPr>
          <w:i/>
        </w:rPr>
        <w:t xml:space="preserve"> </w:t>
      </w:r>
    </w:p>
    <w:p w14:paraId="58B13AFD" w14:textId="77777777" w:rsidR="00FA78BC" w:rsidRDefault="00E85B67">
      <w:r>
        <w:rPr>
          <w:b/>
        </w:rPr>
        <w:t xml:space="preserve">*A1. Main biology-related learning goals (1–3 major goals) related to: </w:t>
      </w:r>
      <w:r>
        <w:t xml:space="preserve">refer to the </w:t>
      </w:r>
      <w:hyperlink r:id="rId8">
        <w:r>
          <w:rPr>
            <w:color w:val="1155CC"/>
            <w:u w:val="single"/>
          </w:rPr>
          <w:t>ASBMB Foundational concepts</w:t>
        </w:r>
      </w:hyperlink>
      <w:r>
        <w:t xml:space="preserve"> and </w:t>
      </w:r>
      <w:hyperlink r:id="rId9" w:anchor="F3a">
        <w:proofErr w:type="spellStart"/>
        <w:r>
          <w:rPr>
            <w:color w:val="1155CC"/>
            <w:u w:val="single"/>
          </w:rPr>
          <w:t>Biocore</w:t>
        </w:r>
        <w:proofErr w:type="spellEnd"/>
        <w:r>
          <w:rPr>
            <w:color w:val="1155CC"/>
            <w:u w:val="single"/>
          </w:rPr>
          <w:t xml:space="preserve"> Guide</w:t>
        </w:r>
      </w:hyperlink>
      <w:r>
        <w:t xml:space="preserve"> </w:t>
      </w:r>
    </w:p>
    <w:p w14:paraId="2230E171" w14:textId="77777777" w:rsidR="00071EBB" w:rsidRPr="00071EBB" w:rsidRDefault="00E85B67">
      <w:pPr>
        <w:numPr>
          <w:ilvl w:val="0"/>
          <w:numId w:val="8"/>
        </w:numPr>
      </w:pPr>
      <w:r>
        <w:t>Learning Goal 1:</w:t>
      </w:r>
      <w:r w:rsidR="00071EBB">
        <w:t xml:space="preserve"> </w:t>
      </w:r>
      <w:r w:rsidR="00071EBB">
        <w:rPr>
          <w:color w:val="0000FF"/>
        </w:rPr>
        <w:t>ASBMB E</w:t>
      </w:r>
      <w:r>
        <w:rPr>
          <w:color w:val="0000FF"/>
        </w:rPr>
        <w:t>nergy and Metabolism</w:t>
      </w:r>
      <w:r w:rsidR="00071EBB">
        <w:rPr>
          <w:color w:val="0000FF"/>
        </w:rPr>
        <w:t>-</w:t>
      </w:r>
      <w:r>
        <w:rPr>
          <w:color w:val="0000FF"/>
        </w:rPr>
        <w:t xml:space="preserve"> </w:t>
      </w:r>
    </w:p>
    <w:p w14:paraId="48456FB6" w14:textId="77777777" w:rsidR="00FA78BC" w:rsidRDefault="00E85B67" w:rsidP="00071EBB">
      <w:pPr>
        <w:numPr>
          <w:ilvl w:val="1"/>
          <w:numId w:val="8"/>
        </w:numPr>
      </w:pPr>
      <w:r>
        <w:rPr>
          <w:color w:val="0000FF"/>
        </w:rPr>
        <w:t>2. Catalysis; Students should be able to explain what a substrate is in terms of being a reactant and how a molecule resembling a substrate can act as a covalent inhibitor.</w:t>
      </w:r>
    </w:p>
    <w:p w14:paraId="2ADB73C8" w14:textId="77777777" w:rsidR="00071EBB" w:rsidRPr="00071EBB" w:rsidRDefault="00E85B67">
      <w:pPr>
        <w:numPr>
          <w:ilvl w:val="0"/>
          <w:numId w:val="8"/>
        </w:numPr>
      </w:pPr>
      <w:r>
        <w:t>Learning Goal 2:</w:t>
      </w:r>
      <w:r w:rsidR="00071EBB">
        <w:t xml:space="preserve"> </w:t>
      </w:r>
      <w:r w:rsidR="00071EBB">
        <w:rPr>
          <w:color w:val="0000FF"/>
        </w:rPr>
        <w:t>ASBMB S</w:t>
      </w:r>
      <w:r>
        <w:rPr>
          <w:color w:val="0000FF"/>
        </w:rPr>
        <w:t>tructure and Functio</w:t>
      </w:r>
      <w:r w:rsidR="00071EBB">
        <w:rPr>
          <w:color w:val="0000FF"/>
        </w:rPr>
        <w:t>n-</w:t>
      </w:r>
      <w:r>
        <w:rPr>
          <w:color w:val="0000FF"/>
        </w:rPr>
        <w:t xml:space="preserve"> </w:t>
      </w:r>
    </w:p>
    <w:p w14:paraId="3FF59141" w14:textId="77777777" w:rsidR="00071EBB" w:rsidRPr="00071EBB" w:rsidRDefault="00071EBB" w:rsidP="00071EBB">
      <w:pPr>
        <w:numPr>
          <w:ilvl w:val="1"/>
          <w:numId w:val="8"/>
        </w:numPr>
      </w:pPr>
      <w:r>
        <w:rPr>
          <w:color w:val="0000FF"/>
        </w:rPr>
        <w:t>2. S</w:t>
      </w:r>
      <w:r w:rsidR="00E85B67">
        <w:rPr>
          <w:color w:val="0000FF"/>
        </w:rPr>
        <w:t xml:space="preserve">tructure is determined by several factors: </w:t>
      </w:r>
    </w:p>
    <w:p w14:paraId="4AD23D09" w14:textId="77777777" w:rsidR="00DF10EC" w:rsidRDefault="00E85B67" w:rsidP="00DF10EC">
      <w:pPr>
        <w:numPr>
          <w:ilvl w:val="2"/>
          <w:numId w:val="8"/>
        </w:numPr>
      </w:pPr>
      <w:r>
        <w:rPr>
          <w:color w:val="0000FF"/>
          <w:highlight w:val="white"/>
        </w:rPr>
        <w:t>Students should be able to compare and contrast the primary, secondary, tertiary</w:t>
      </w:r>
      <w:r w:rsidR="00071EBB">
        <w:rPr>
          <w:color w:val="0000FF"/>
          <w:highlight w:val="white"/>
        </w:rPr>
        <w:t>,</w:t>
      </w:r>
      <w:r>
        <w:rPr>
          <w:color w:val="0000FF"/>
          <w:highlight w:val="white"/>
        </w:rPr>
        <w:t xml:space="preserve"> and quaternary structures of proteins and nucleic acids</w:t>
      </w:r>
      <w:r w:rsidR="00DF10EC">
        <w:t xml:space="preserve"> </w:t>
      </w:r>
    </w:p>
    <w:p w14:paraId="7E7C549D" w14:textId="77777777" w:rsidR="00DF10EC" w:rsidRDefault="00E85B67" w:rsidP="00DF10EC">
      <w:pPr>
        <w:numPr>
          <w:ilvl w:val="2"/>
          <w:numId w:val="8"/>
        </w:numPr>
      </w:pPr>
      <w:r w:rsidRPr="00DF10EC">
        <w:rPr>
          <w:color w:val="0000FF"/>
          <w:highlight w:val="white"/>
        </w:rPr>
        <w:t>Students should be able to use various bioinformatics and computational approaches to compare primary sequences and identify the impact of conservation and/or evolutionary change on the structure and function of macromolecules.</w:t>
      </w:r>
      <w:r w:rsidR="00DF10EC">
        <w:t xml:space="preserve"> </w:t>
      </w:r>
    </w:p>
    <w:p w14:paraId="02C6FCC8" w14:textId="77777777" w:rsidR="00FA78BC" w:rsidRDefault="00E85B67" w:rsidP="00DF10EC">
      <w:pPr>
        <w:numPr>
          <w:ilvl w:val="2"/>
          <w:numId w:val="8"/>
        </w:numPr>
      </w:pPr>
      <w:r w:rsidRPr="00DF10EC">
        <w:rPr>
          <w:color w:val="0000FF"/>
          <w:highlight w:val="white"/>
        </w:rPr>
        <w:t>Students should be able to predict the effects of mutations on the activity, structure</w:t>
      </w:r>
      <w:r w:rsidR="00071EBB" w:rsidRPr="00DF10EC">
        <w:rPr>
          <w:color w:val="0000FF"/>
          <w:highlight w:val="white"/>
        </w:rPr>
        <w:t>,</w:t>
      </w:r>
      <w:r w:rsidRPr="00DF10EC">
        <w:rPr>
          <w:color w:val="0000FF"/>
          <w:highlight w:val="white"/>
        </w:rPr>
        <w:t xml:space="preserve"> or stability of a protein</w:t>
      </w:r>
    </w:p>
    <w:p w14:paraId="26DC2DF2" w14:textId="77777777" w:rsidR="00FA78BC" w:rsidRDefault="00FA78BC">
      <w:pPr>
        <w:widowControl w:val="0"/>
        <w:tabs>
          <w:tab w:val="left" w:pos="819"/>
          <w:tab w:val="left" w:pos="820"/>
        </w:tabs>
        <w:spacing w:before="38" w:line="240" w:lineRule="auto"/>
        <w:ind w:left="720"/>
        <w:rPr>
          <w:color w:val="0000FF"/>
          <w:highlight w:val="white"/>
        </w:rPr>
      </w:pPr>
    </w:p>
    <w:p w14:paraId="67DB539D" w14:textId="77777777" w:rsidR="00FA78BC" w:rsidRDefault="00E85B67">
      <w:pPr>
        <w:rPr>
          <w:b/>
        </w:rPr>
      </w:pPr>
      <w:r>
        <w:rPr>
          <w:b/>
        </w:rPr>
        <w:t xml:space="preserve">*A2. Main chemistry-related learning goals (1–3 major goals): </w:t>
      </w:r>
      <w:r>
        <w:t xml:space="preserve">refer to the </w:t>
      </w:r>
      <w:hyperlink r:id="rId10">
        <w:r>
          <w:rPr>
            <w:color w:val="1155CC"/>
            <w:u w:val="single"/>
          </w:rPr>
          <w:t>Macromolecular, Supramolecular, and Nanoscale (MSN) Systems in the Curriculum</w:t>
        </w:r>
      </w:hyperlink>
      <w:r>
        <w:t xml:space="preserve"> </w:t>
      </w:r>
    </w:p>
    <w:p w14:paraId="64238F71" w14:textId="77777777" w:rsidR="00FA78BC" w:rsidRDefault="00E85B67">
      <w:pPr>
        <w:numPr>
          <w:ilvl w:val="0"/>
          <w:numId w:val="8"/>
        </w:numPr>
      </w:pPr>
      <w:r>
        <w:t>Learning Goal 1:</w:t>
      </w:r>
      <w:r w:rsidR="00071EBB">
        <w:t xml:space="preserve"> </w:t>
      </w:r>
      <w:r>
        <w:rPr>
          <w:color w:val="0000FF"/>
        </w:rPr>
        <w:t xml:space="preserve">Physical Properties of MSN Systems: Students should be able to describe intramolecular interactions and relationship of structure and function </w:t>
      </w:r>
    </w:p>
    <w:p w14:paraId="4342C0FC" w14:textId="77777777" w:rsidR="00FA78BC" w:rsidRDefault="00E85B67">
      <w:pPr>
        <w:numPr>
          <w:ilvl w:val="0"/>
          <w:numId w:val="8"/>
        </w:numPr>
      </w:pPr>
      <w:r>
        <w:t xml:space="preserve">Learning Goal 2: </w:t>
      </w:r>
      <w:r>
        <w:rPr>
          <w:color w:val="0000FF"/>
        </w:rPr>
        <w:t>Biochemistry: Students should be able to explain how the intermolecular interactions of biopolymers and influence of polymer primary, secondary, and tertiary structure</w:t>
      </w:r>
    </w:p>
    <w:p w14:paraId="72F262B4" w14:textId="77777777" w:rsidR="00FA78BC" w:rsidRDefault="00FA78BC">
      <w:pPr>
        <w:ind w:left="720"/>
      </w:pPr>
    </w:p>
    <w:p w14:paraId="57C18774" w14:textId="77777777" w:rsidR="00FA78BC" w:rsidRDefault="00E85B67">
      <w:r>
        <w:rPr>
          <w:b/>
        </w:rPr>
        <w:t>*A3. Molecular Modeling/Visualization Learning Goals</w:t>
      </w:r>
      <w:r>
        <w:t xml:space="preserve">: refer to the </w:t>
      </w:r>
      <w:hyperlink r:id="rId11">
        <w:proofErr w:type="spellStart"/>
        <w:r>
          <w:rPr>
            <w:color w:val="1155CC"/>
            <w:u w:val="single"/>
          </w:rPr>
          <w:t>BioMolViz</w:t>
        </w:r>
        <w:proofErr w:type="spellEnd"/>
        <w:r>
          <w:rPr>
            <w:color w:val="1155CC"/>
            <w:u w:val="single"/>
          </w:rPr>
          <w:t xml:space="preserve"> Framework</w:t>
        </w:r>
      </w:hyperlink>
    </w:p>
    <w:p w14:paraId="367654EB" w14:textId="77777777" w:rsidR="00FA78BC" w:rsidRDefault="00E85B67">
      <w:pPr>
        <w:numPr>
          <w:ilvl w:val="0"/>
          <w:numId w:val="1"/>
        </w:numPr>
      </w:pPr>
      <w:r>
        <w:t xml:space="preserve">Learning Goal 1: </w:t>
      </w:r>
      <w:r>
        <w:rPr>
          <w:color w:val="0000FF"/>
        </w:rPr>
        <w:t xml:space="preserve">MI2.06: </w:t>
      </w:r>
      <w:r>
        <w:rPr>
          <w:color w:val="0000FF"/>
          <w:highlight w:val="white"/>
        </w:rPr>
        <w:t>Using molecular visualization tools, students can determine which intermolecular force is most critical to stabilizing a given interaction</w:t>
      </w:r>
    </w:p>
    <w:p w14:paraId="74A484CC" w14:textId="77777777" w:rsidR="00FA78BC" w:rsidRDefault="00E85B67">
      <w:pPr>
        <w:numPr>
          <w:ilvl w:val="0"/>
          <w:numId w:val="1"/>
        </w:numPr>
      </w:pPr>
      <w:r>
        <w:lastRenderedPageBreak/>
        <w:t xml:space="preserve">Learning Goal 2: </w:t>
      </w:r>
      <w:r>
        <w:rPr>
          <w:color w:val="0000FF"/>
        </w:rPr>
        <w:t xml:space="preserve">LM2.03: </w:t>
      </w:r>
      <w:r>
        <w:rPr>
          <w:color w:val="0000FF"/>
          <w:highlight w:val="white"/>
        </w:rPr>
        <w:t>Students can use molecular visualization tools to predict how a specified ligand or modified building block contributes to the function of a given protein. </w:t>
      </w:r>
    </w:p>
    <w:p w14:paraId="6687869C" w14:textId="77777777" w:rsidR="00FA78BC" w:rsidRDefault="00FA78BC">
      <w:pPr>
        <w:ind w:left="720"/>
      </w:pPr>
    </w:p>
    <w:p w14:paraId="7843FC4A" w14:textId="77777777" w:rsidR="00FA78BC" w:rsidRDefault="00E85B67">
      <w:r>
        <w:rPr>
          <w:b/>
        </w:rPr>
        <w:t>*A4. Bioinformatics Learning Goals and Skills used in the case</w:t>
      </w:r>
      <w:r>
        <w:t xml:space="preserve">: refer to </w:t>
      </w:r>
      <w:hyperlink r:id="rId12">
        <w:r>
          <w:rPr>
            <w:color w:val="1155CC"/>
            <w:u w:val="single"/>
          </w:rPr>
          <w:t>NIBLSE Bioinformatics Core Competencies</w:t>
        </w:r>
      </w:hyperlink>
    </w:p>
    <w:p w14:paraId="23A67A58" w14:textId="77777777" w:rsidR="005D21FA" w:rsidRDefault="005D21FA" w:rsidP="005D21FA">
      <w:pPr>
        <w:numPr>
          <w:ilvl w:val="0"/>
          <w:numId w:val="5"/>
        </w:numPr>
      </w:pPr>
      <w:r>
        <w:t xml:space="preserve">Learning Goal/Skill 2: </w:t>
      </w:r>
      <w:r>
        <w:rPr>
          <w:color w:val="0000FF"/>
        </w:rPr>
        <w:t>NIBLSE: C4: Students will be able to use bioinformatic tools to examine complex biological problems</w:t>
      </w:r>
      <w:r>
        <w:t>.</w:t>
      </w:r>
    </w:p>
    <w:p w14:paraId="44B03585" w14:textId="77777777" w:rsidR="005D21FA" w:rsidRDefault="005D21FA" w:rsidP="005D21FA">
      <w:pPr>
        <w:numPr>
          <w:ilvl w:val="0"/>
          <w:numId w:val="5"/>
        </w:numPr>
      </w:pPr>
      <w:r>
        <w:t xml:space="preserve">Learning Goal/Skill 3: </w:t>
      </w:r>
      <w:r>
        <w:rPr>
          <w:color w:val="0000FF"/>
        </w:rPr>
        <w:t>NIBLSE: C5: Students will be able to find, retrieve, and organize biological data from protein databases.</w:t>
      </w:r>
    </w:p>
    <w:p w14:paraId="370207F5" w14:textId="77777777" w:rsidR="005D21FA" w:rsidRPr="000A6A0E" w:rsidRDefault="005D21FA" w:rsidP="005D21FA">
      <w:pPr>
        <w:widowControl w:val="0"/>
        <w:numPr>
          <w:ilvl w:val="0"/>
          <w:numId w:val="5"/>
        </w:numPr>
        <w:pBdr>
          <w:top w:val="nil"/>
          <w:left w:val="nil"/>
          <w:bottom w:val="nil"/>
          <w:right w:val="nil"/>
          <w:between w:val="nil"/>
        </w:pBdr>
        <w:tabs>
          <w:tab w:val="left" w:pos="819"/>
          <w:tab w:val="left" w:pos="820"/>
        </w:tabs>
        <w:spacing w:before="36"/>
        <w:ind w:right="318"/>
        <w:rPr>
          <w:color w:val="0000FF"/>
        </w:rPr>
      </w:pPr>
      <w:r>
        <w:rPr>
          <w:color w:val="000000"/>
        </w:rPr>
        <w:t xml:space="preserve">Learning Goal/Skill 4: </w:t>
      </w:r>
      <w:r w:rsidRPr="000A6A0E">
        <w:rPr>
          <w:color w:val="0000FF"/>
        </w:rPr>
        <w:t>NIBLSE; C6. Explore and/or model biological interactions, networks, and data integration using bioinformatics.</w:t>
      </w:r>
    </w:p>
    <w:p w14:paraId="6BD8936E" w14:textId="77777777" w:rsidR="00FA78BC" w:rsidRDefault="00FA78BC" w:rsidP="005D21FA">
      <w:pPr>
        <w:ind w:left="720"/>
      </w:pPr>
    </w:p>
    <w:p w14:paraId="6E9CC3D7" w14:textId="77777777" w:rsidR="00FA78BC" w:rsidRDefault="00E85B67">
      <w:r>
        <w:rPr>
          <w:b/>
        </w:rPr>
        <w:t>A5. Other sub-disciplinary learning goals:</w:t>
      </w:r>
      <w:r>
        <w:t xml:space="preserve"> </w:t>
      </w:r>
      <w:r>
        <w:rPr>
          <w:i/>
        </w:rPr>
        <w:t>Please specify the sub-discipline and specific learning goals framework, if any.</w:t>
      </w:r>
      <w:r>
        <w:t xml:space="preserve"> </w:t>
      </w:r>
    </w:p>
    <w:p w14:paraId="0F120A11" w14:textId="77777777" w:rsidR="00FA78BC" w:rsidRDefault="00E85B67">
      <w:pPr>
        <w:numPr>
          <w:ilvl w:val="0"/>
          <w:numId w:val="1"/>
        </w:numPr>
      </w:pPr>
      <w:r>
        <w:t xml:space="preserve">Subdiscipline: </w:t>
      </w:r>
      <w:r>
        <w:rPr>
          <w:color w:val="0000FF"/>
        </w:rPr>
        <w:t>Parasitology</w:t>
      </w:r>
    </w:p>
    <w:p w14:paraId="4218E480" w14:textId="77777777" w:rsidR="00FA78BC" w:rsidRDefault="00E85B67" w:rsidP="00071EBB">
      <w:pPr>
        <w:numPr>
          <w:ilvl w:val="0"/>
          <w:numId w:val="1"/>
        </w:numPr>
      </w:pPr>
      <w:r>
        <w:t xml:space="preserve">Learning Goal 1: </w:t>
      </w:r>
      <w:r>
        <w:rPr>
          <w:color w:val="0000FF"/>
        </w:rPr>
        <w:t>Students will be able to identify a common metabolic step between a parasite and a human and explain how this commonality can be leveraged to develop selective treatments against the parasite</w:t>
      </w:r>
    </w:p>
    <w:p w14:paraId="5002D06D" w14:textId="77777777" w:rsidR="00FA78BC" w:rsidRDefault="00FA78BC"/>
    <w:p w14:paraId="1702BBD8" w14:textId="77777777" w:rsidR="00FA78BC" w:rsidRDefault="00E85B67">
      <w:pPr>
        <w:numPr>
          <w:ilvl w:val="0"/>
          <w:numId w:val="4"/>
        </w:numPr>
        <w:rPr>
          <w:b/>
        </w:rPr>
      </w:pPr>
      <w:r>
        <w:rPr>
          <w:b/>
          <w:u w:val="single"/>
        </w:rPr>
        <w:t xml:space="preserve">BACKGROUND MATERIALS </w:t>
      </w:r>
    </w:p>
    <w:p w14:paraId="5EED0391" w14:textId="77777777" w:rsidR="00FA78BC" w:rsidRPr="00DF10EC" w:rsidRDefault="00FA78BC">
      <w:pPr>
        <w:rPr>
          <w:iCs/>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10"/>
        <w:gridCol w:w="6850"/>
      </w:tblGrid>
      <w:tr w:rsidR="00FA78BC" w14:paraId="6C70476C" w14:textId="77777777" w:rsidTr="00F32A40">
        <w:tc>
          <w:tcPr>
            <w:tcW w:w="2510" w:type="dxa"/>
            <w:shd w:val="clear" w:color="auto" w:fill="auto"/>
            <w:tcMar>
              <w:top w:w="100" w:type="dxa"/>
              <w:left w:w="100" w:type="dxa"/>
              <w:bottom w:w="100" w:type="dxa"/>
              <w:right w:w="100" w:type="dxa"/>
            </w:tcMar>
          </w:tcPr>
          <w:p w14:paraId="45AEB10F" w14:textId="77777777" w:rsidR="00FA78BC" w:rsidRDefault="00E85B67">
            <w:pPr>
              <w:widowControl w:val="0"/>
              <w:pBdr>
                <w:top w:val="nil"/>
                <w:left w:val="nil"/>
                <w:bottom w:val="nil"/>
                <w:right w:val="nil"/>
                <w:between w:val="nil"/>
              </w:pBdr>
              <w:spacing w:line="240" w:lineRule="auto"/>
              <w:rPr>
                <w:b/>
              </w:rPr>
            </w:pPr>
            <w:r>
              <w:rPr>
                <w:b/>
              </w:rPr>
              <w:t>Type of Background Material</w:t>
            </w:r>
          </w:p>
        </w:tc>
        <w:tc>
          <w:tcPr>
            <w:tcW w:w="6850" w:type="dxa"/>
            <w:shd w:val="clear" w:color="auto" w:fill="auto"/>
            <w:tcMar>
              <w:top w:w="100" w:type="dxa"/>
              <w:left w:w="100" w:type="dxa"/>
              <w:bottom w:w="100" w:type="dxa"/>
              <w:right w:w="100" w:type="dxa"/>
            </w:tcMar>
          </w:tcPr>
          <w:p w14:paraId="59CB6F0E" w14:textId="77777777" w:rsidR="00FA78BC" w:rsidRDefault="00E85B67">
            <w:pPr>
              <w:widowControl w:val="0"/>
              <w:pBdr>
                <w:top w:val="nil"/>
                <w:left w:val="nil"/>
                <w:bottom w:val="nil"/>
                <w:right w:val="nil"/>
                <w:between w:val="nil"/>
              </w:pBdr>
              <w:spacing w:line="240" w:lineRule="auto"/>
              <w:rPr>
                <w:b/>
              </w:rPr>
            </w:pPr>
            <w:r>
              <w:rPr>
                <w:b/>
              </w:rPr>
              <w:t>Link to the Material</w:t>
            </w:r>
          </w:p>
        </w:tc>
      </w:tr>
      <w:tr w:rsidR="00FA78BC" w14:paraId="569C1E37" w14:textId="77777777" w:rsidTr="00F32A40">
        <w:trPr>
          <w:trHeight w:val="2598"/>
        </w:trPr>
        <w:tc>
          <w:tcPr>
            <w:tcW w:w="2510" w:type="dxa"/>
            <w:shd w:val="clear" w:color="auto" w:fill="auto"/>
            <w:tcMar>
              <w:top w:w="100" w:type="dxa"/>
              <w:left w:w="100" w:type="dxa"/>
              <w:bottom w:w="100" w:type="dxa"/>
              <w:right w:w="100" w:type="dxa"/>
            </w:tcMar>
          </w:tcPr>
          <w:p w14:paraId="2A70E42F" w14:textId="77777777" w:rsidR="00FA78BC" w:rsidRDefault="00E85B67">
            <w:pPr>
              <w:widowControl w:val="0"/>
              <w:pBdr>
                <w:top w:val="nil"/>
                <w:left w:val="nil"/>
                <w:bottom w:val="nil"/>
                <w:right w:val="nil"/>
                <w:between w:val="nil"/>
              </w:pBdr>
              <w:spacing w:line="240" w:lineRule="auto"/>
            </w:pPr>
            <w:r>
              <w:t xml:space="preserve">Review/ </w:t>
            </w:r>
            <w:r w:rsidRPr="00DF10EC">
              <w:t>Journal</w:t>
            </w:r>
            <w:r>
              <w:t xml:space="preserve"> article</w:t>
            </w:r>
          </w:p>
        </w:tc>
        <w:tc>
          <w:tcPr>
            <w:tcW w:w="6850" w:type="dxa"/>
            <w:shd w:val="clear" w:color="auto" w:fill="auto"/>
            <w:tcMar>
              <w:top w:w="100" w:type="dxa"/>
              <w:left w:w="100" w:type="dxa"/>
              <w:bottom w:w="100" w:type="dxa"/>
              <w:right w:w="100" w:type="dxa"/>
            </w:tcMar>
          </w:tcPr>
          <w:p w14:paraId="47EEB2EB" w14:textId="77777777" w:rsidR="00FA78BC" w:rsidRDefault="00E85B67">
            <w:pPr>
              <w:numPr>
                <w:ilvl w:val="6"/>
                <w:numId w:val="11"/>
              </w:numPr>
              <w:spacing w:line="240" w:lineRule="auto"/>
              <w:ind w:left="0"/>
              <w:rPr>
                <w:color w:val="0000FF"/>
                <w:sz w:val="20"/>
                <w:szCs w:val="20"/>
              </w:rPr>
            </w:pPr>
            <w:r>
              <w:rPr>
                <w:color w:val="0000FF"/>
                <w:highlight w:val="white"/>
              </w:rPr>
              <w:t xml:space="preserve">Malaria in Brazil: an overview. </w:t>
            </w:r>
            <w:r>
              <w:rPr>
                <w:i/>
                <w:color w:val="0000FF"/>
                <w:highlight w:val="white"/>
              </w:rPr>
              <w:t>Malar J</w:t>
            </w:r>
            <w:r>
              <w:rPr>
                <w:color w:val="0000FF"/>
                <w:highlight w:val="white"/>
              </w:rPr>
              <w:t xml:space="preserve"> 9, 115 (2010). </w:t>
            </w:r>
            <w:hyperlink r:id="rId13">
              <w:r>
                <w:rPr>
                  <w:color w:val="1155CC"/>
                  <w:highlight w:val="white"/>
                  <w:u w:val="single"/>
                </w:rPr>
                <w:t>https://doi.org/10.1186/1475-2875-9-115</w:t>
              </w:r>
            </w:hyperlink>
          </w:p>
          <w:p w14:paraId="2B52C507" w14:textId="77777777" w:rsidR="00FA78BC" w:rsidRDefault="00FA78BC">
            <w:pPr>
              <w:numPr>
                <w:ilvl w:val="6"/>
                <w:numId w:val="11"/>
              </w:numPr>
              <w:spacing w:line="240" w:lineRule="auto"/>
              <w:ind w:left="0"/>
              <w:rPr>
                <w:color w:val="0000FF"/>
                <w:highlight w:val="white"/>
              </w:rPr>
            </w:pPr>
          </w:p>
          <w:p w14:paraId="215D6759" w14:textId="77777777" w:rsidR="00DF10EC" w:rsidRDefault="00E85B67" w:rsidP="00DF10EC">
            <w:pPr>
              <w:widowControl w:val="0"/>
              <w:shd w:val="clear" w:color="auto" w:fill="FFFFFF"/>
              <w:spacing w:after="200" w:line="300" w:lineRule="auto"/>
              <w:rPr>
                <w:color w:val="0000FF"/>
              </w:rPr>
            </w:pPr>
            <w:r>
              <w:rPr>
                <w:color w:val="0000FF"/>
              </w:rPr>
              <w:t>Optional:</w:t>
            </w:r>
            <w:r>
              <w:rPr>
                <w:color w:val="0000FF"/>
              </w:rPr>
              <w:br/>
              <w:t xml:space="preserve">The proliferating cell hypothesis: a metabolic framework for </w:t>
            </w:r>
            <w:r>
              <w:rPr>
                <w:i/>
                <w:color w:val="0000FF"/>
              </w:rPr>
              <w:t>Plasmodium</w:t>
            </w:r>
            <w:r>
              <w:rPr>
                <w:color w:val="0000FF"/>
              </w:rPr>
              <w:t xml:space="preserve"> growth and development</w:t>
            </w:r>
            <w:r w:rsidR="00DF10EC">
              <w:rPr>
                <w:color w:val="0000FF"/>
              </w:rPr>
              <w:t>.</w:t>
            </w:r>
            <w:r w:rsidR="00F32A40">
              <w:rPr>
                <w:color w:val="0000FF"/>
              </w:rPr>
              <w:t xml:space="preserve"> </w:t>
            </w:r>
            <w:hyperlink r:id="rId14" w:history="1">
              <w:r w:rsidR="00F32A40" w:rsidRPr="00E93A2E">
                <w:rPr>
                  <w:rStyle w:val="Hyperlink"/>
                </w:rPr>
                <w:t>https://doi.org/10.1016/j.pt.2014.02.001</w:t>
              </w:r>
            </w:hyperlink>
            <w:r w:rsidR="00DF10EC">
              <w:rPr>
                <w:color w:val="0000FF"/>
              </w:rPr>
              <w:t xml:space="preserve"> </w:t>
            </w:r>
            <w:r w:rsidR="00DF10EC" w:rsidRPr="00DF10EC">
              <w:rPr>
                <w:color w:val="0000FF"/>
                <w:highlight w:val="white"/>
              </w:rPr>
              <w:t xml:space="preserve"> </w:t>
            </w:r>
            <w:r w:rsidR="00DF10EC">
              <w:rPr>
                <w:color w:val="0000FF"/>
                <w:highlight w:val="white"/>
              </w:rPr>
              <w:t xml:space="preserve"> </w:t>
            </w:r>
          </w:p>
          <w:p w14:paraId="175297F4" w14:textId="77777777" w:rsidR="00FA78BC" w:rsidRDefault="00E85B67" w:rsidP="00DF10EC">
            <w:pPr>
              <w:widowControl w:val="0"/>
              <w:shd w:val="clear" w:color="auto" w:fill="FFFFFF"/>
              <w:spacing w:after="200" w:line="300" w:lineRule="auto"/>
            </w:pPr>
            <w:r>
              <w:rPr>
                <w:color w:val="0000FF"/>
              </w:rPr>
              <w:t xml:space="preserve">Modeling of the Glycolysis Pathway in </w:t>
            </w:r>
            <w:r>
              <w:rPr>
                <w:i/>
                <w:color w:val="0000FF"/>
              </w:rPr>
              <w:t>Plasmodium falciparum</w:t>
            </w:r>
            <w:r>
              <w:rPr>
                <w:color w:val="0000FF"/>
              </w:rPr>
              <w:t xml:space="preserve"> using Petri Nets</w:t>
            </w:r>
            <w:r w:rsidR="00DF10EC">
              <w:rPr>
                <w:color w:val="0000FF"/>
              </w:rPr>
              <w:t xml:space="preserve">. </w:t>
            </w:r>
            <w:hyperlink r:id="rId15" w:history="1">
              <w:r w:rsidR="00DF10EC" w:rsidRPr="00E93A2E">
                <w:rPr>
                  <w:rStyle w:val="Hyperlink"/>
                </w:rPr>
                <w:t>https://doi.org/10.4137/BBI.S37296</w:t>
              </w:r>
            </w:hyperlink>
            <w:r w:rsidR="00DF10EC">
              <w:rPr>
                <w:color w:val="0000FF"/>
              </w:rPr>
              <w:t xml:space="preserve"> </w:t>
            </w:r>
          </w:p>
        </w:tc>
      </w:tr>
      <w:tr w:rsidR="00DF10EC" w14:paraId="1257A8E7" w14:textId="77777777" w:rsidTr="00F32A40">
        <w:tc>
          <w:tcPr>
            <w:tcW w:w="2510" w:type="dxa"/>
            <w:shd w:val="clear" w:color="auto" w:fill="auto"/>
            <w:tcMar>
              <w:top w:w="100" w:type="dxa"/>
              <w:left w:w="100" w:type="dxa"/>
              <w:bottom w:w="100" w:type="dxa"/>
              <w:right w:w="100" w:type="dxa"/>
            </w:tcMar>
          </w:tcPr>
          <w:p w14:paraId="3E40151F" w14:textId="77777777" w:rsidR="00DF10EC" w:rsidRDefault="00DF10EC">
            <w:pPr>
              <w:widowControl w:val="0"/>
              <w:pBdr>
                <w:top w:val="nil"/>
                <w:left w:val="nil"/>
                <w:bottom w:val="nil"/>
                <w:right w:val="nil"/>
                <w:between w:val="nil"/>
              </w:pBdr>
              <w:spacing w:line="240" w:lineRule="auto"/>
            </w:pPr>
            <w:r>
              <w:t xml:space="preserve">Video or other educational resource </w:t>
            </w:r>
          </w:p>
        </w:tc>
        <w:tc>
          <w:tcPr>
            <w:tcW w:w="6850" w:type="dxa"/>
            <w:shd w:val="clear" w:color="auto" w:fill="auto"/>
            <w:tcMar>
              <w:top w:w="100" w:type="dxa"/>
              <w:left w:w="100" w:type="dxa"/>
              <w:bottom w:w="100" w:type="dxa"/>
              <w:right w:w="100" w:type="dxa"/>
            </w:tcMar>
          </w:tcPr>
          <w:p w14:paraId="3B772ABE" w14:textId="77777777" w:rsidR="00DF10EC" w:rsidRDefault="00DF10EC">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color w:val="0000FF"/>
              </w:rPr>
            </w:pPr>
            <w:r>
              <w:rPr>
                <w:color w:val="0000FF"/>
              </w:rPr>
              <w:t xml:space="preserve">Malarial Parasite Detection by Rapid Card Method: </w:t>
            </w:r>
            <w:hyperlink r:id="rId16">
              <w:r>
                <w:rPr>
                  <w:color w:val="1155CC"/>
                  <w:u w:val="single"/>
                </w:rPr>
                <w:t>https://www.youtube.com/watch?v=hft79S__C_8</w:t>
              </w:r>
            </w:hyperlink>
          </w:p>
          <w:p w14:paraId="65AF84C0" w14:textId="77777777" w:rsidR="00DF10EC" w:rsidRDefault="00DF10EC">
            <w:pPr>
              <w:pStyle w:val="Heading1"/>
              <w:keepNext w:val="0"/>
              <w:keepLines w:val="0"/>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line="266" w:lineRule="auto"/>
              <w:rPr>
                <w:color w:val="0000FF"/>
                <w:sz w:val="22"/>
                <w:szCs w:val="22"/>
              </w:rPr>
            </w:pPr>
            <w:bookmarkStart w:id="1" w:name="_heading=h.t88zghap7brc" w:colFirst="0" w:colLast="0"/>
            <w:bookmarkEnd w:id="1"/>
            <w:r>
              <w:rPr>
                <w:color w:val="0000FF"/>
                <w:sz w:val="22"/>
                <w:szCs w:val="22"/>
              </w:rPr>
              <w:t xml:space="preserve">Malaria management by community health workers: </w:t>
            </w:r>
            <w:hyperlink r:id="rId17">
              <w:r>
                <w:rPr>
                  <w:color w:val="1155CC"/>
                  <w:sz w:val="22"/>
                  <w:szCs w:val="22"/>
                  <w:u w:val="single"/>
                </w:rPr>
                <w:t>https://vimeo.com/88041399</w:t>
              </w:r>
            </w:hyperlink>
          </w:p>
          <w:p w14:paraId="1984AFC4" w14:textId="77777777" w:rsidR="00DF10EC" w:rsidRPr="00DF10EC" w:rsidRDefault="00DF10EC" w:rsidP="00DF10EC">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line="240" w:lineRule="auto"/>
              <w:rPr>
                <w:color w:val="0000FF"/>
                <w:sz w:val="22"/>
                <w:szCs w:val="22"/>
              </w:rPr>
            </w:pPr>
            <w:bookmarkStart w:id="2" w:name="_heading=h.pqc5vr6owmna" w:colFirst="0" w:colLast="0"/>
            <w:bookmarkEnd w:id="2"/>
            <w:r>
              <w:rPr>
                <w:color w:val="0000FF"/>
                <w:sz w:val="22"/>
                <w:szCs w:val="22"/>
              </w:rPr>
              <w:t xml:space="preserve">Malaria and Life Cycle of Plasmodium: </w:t>
            </w:r>
            <w:hyperlink r:id="rId18" w:history="1">
              <w:r w:rsidRPr="00E93A2E">
                <w:rPr>
                  <w:rStyle w:val="Hyperlink"/>
                  <w:sz w:val="22"/>
                  <w:szCs w:val="22"/>
                </w:rPr>
                <w:t>https://www.youtube.com/watch?v=BVRnNbb9cLU</w:t>
              </w:r>
            </w:hyperlink>
            <w:r>
              <w:rPr>
                <w:color w:val="0000FF"/>
                <w:sz w:val="22"/>
                <w:szCs w:val="22"/>
              </w:rPr>
              <w:t xml:space="preserve">  </w:t>
            </w:r>
          </w:p>
        </w:tc>
      </w:tr>
      <w:tr w:rsidR="00DF10EC" w14:paraId="574FC0B1" w14:textId="77777777" w:rsidTr="00F32A40">
        <w:tc>
          <w:tcPr>
            <w:tcW w:w="2510" w:type="dxa"/>
            <w:shd w:val="clear" w:color="auto" w:fill="auto"/>
            <w:tcMar>
              <w:top w:w="100" w:type="dxa"/>
              <w:left w:w="100" w:type="dxa"/>
              <w:bottom w:w="100" w:type="dxa"/>
              <w:right w:w="100" w:type="dxa"/>
            </w:tcMar>
          </w:tcPr>
          <w:p w14:paraId="47F77052" w14:textId="77777777" w:rsidR="00DF10EC" w:rsidRDefault="00DF10EC">
            <w:pPr>
              <w:widowControl w:val="0"/>
              <w:pBdr>
                <w:top w:val="nil"/>
                <w:left w:val="nil"/>
                <w:bottom w:val="nil"/>
                <w:right w:val="nil"/>
                <w:between w:val="nil"/>
              </w:pBdr>
              <w:spacing w:line="240" w:lineRule="auto"/>
            </w:pPr>
            <w:r>
              <w:lastRenderedPageBreak/>
              <w:t xml:space="preserve">A reliable website </w:t>
            </w:r>
          </w:p>
        </w:tc>
        <w:tc>
          <w:tcPr>
            <w:tcW w:w="6850" w:type="dxa"/>
            <w:shd w:val="clear" w:color="auto" w:fill="auto"/>
            <w:tcMar>
              <w:top w:w="100" w:type="dxa"/>
              <w:left w:w="100" w:type="dxa"/>
              <w:bottom w:w="100" w:type="dxa"/>
              <w:right w:w="100" w:type="dxa"/>
            </w:tcMar>
          </w:tcPr>
          <w:p w14:paraId="7A9CE1C9" w14:textId="77777777" w:rsidR="00DF10EC" w:rsidRDefault="00DF10EC">
            <w:pPr>
              <w:widowControl w:val="0"/>
              <w:pBdr>
                <w:top w:val="nil"/>
                <w:left w:val="nil"/>
                <w:bottom w:val="nil"/>
                <w:right w:val="nil"/>
                <w:between w:val="nil"/>
              </w:pBdr>
              <w:spacing w:line="240" w:lineRule="auto"/>
              <w:rPr>
                <w:color w:val="0000FF"/>
              </w:rPr>
            </w:pPr>
            <w:r>
              <w:rPr>
                <w:color w:val="0000FF"/>
              </w:rPr>
              <w:t xml:space="preserve">Malaria Facts: who.int </w:t>
            </w:r>
          </w:p>
          <w:p w14:paraId="6F8EE0B7" w14:textId="77777777" w:rsidR="00DF10EC" w:rsidRDefault="00DF10EC">
            <w:pPr>
              <w:spacing w:line="240" w:lineRule="auto"/>
            </w:pPr>
            <w:r>
              <w:rPr>
                <w:color w:val="0000FF"/>
              </w:rPr>
              <w:t xml:space="preserve">Parasites: </w:t>
            </w:r>
            <w:hyperlink r:id="rId19" w:history="1">
              <w:r w:rsidRPr="00E93A2E">
                <w:rPr>
                  <w:rStyle w:val="Hyperlink"/>
                </w:rPr>
                <w:t>https://www.cdc.gov/parasites/about.html</w:t>
              </w:r>
            </w:hyperlink>
            <w:r>
              <w:rPr>
                <w:color w:val="0000FF"/>
              </w:rPr>
              <w:t xml:space="preserve"> </w:t>
            </w:r>
          </w:p>
        </w:tc>
      </w:tr>
    </w:tbl>
    <w:p w14:paraId="29A03C04" w14:textId="77777777" w:rsidR="00FA78BC" w:rsidRDefault="00FA78BC">
      <w:pPr>
        <w:rPr>
          <w:i/>
        </w:rPr>
      </w:pPr>
    </w:p>
    <w:p w14:paraId="032B26A5" w14:textId="77777777" w:rsidR="00FA78BC" w:rsidRDefault="00E85B67">
      <w:pPr>
        <w:numPr>
          <w:ilvl w:val="0"/>
          <w:numId w:val="4"/>
        </w:numPr>
        <w:rPr>
          <w:b/>
        </w:rPr>
      </w:pPr>
      <w:r>
        <w:rPr>
          <w:b/>
          <w:u w:val="single"/>
        </w:rPr>
        <w:t>BIOINFORMATICS RESOURCES AND TOOLS USED</w:t>
      </w:r>
    </w:p>
    <w:p w14:paraId="29763C78" w14:textId="77777777" w:rsidR="00FA78BC" w:rsidRDefault="00DF10EC">
      <w:r>
        <w:rPr>
          <w:i/>
        </w:rPr>
        <w:t>Educators: Use t</w:t>
      </w:r>
      <w:r w:rsidR="00E85B67">
        <w:rPr>
          <w:i/>
        </w:rPr>
        <w:t xml:space="preserve">his information </w:t>
      </w:r>
      <w:r>
        <w:rPr>
          <w:i/>
        </w:rPr>
        <w:t>to</w:t>
      </w:r>
      <w:r w:rsidR="00E85B67">
        <w:rPr>
          <w:i/>
        </w:rPr>
        <w:t xml:space="preserve"> select the case study or sections of the case study for </w:t>
      </w:r>
      <w:r>
        <w:rPr>
          <w:i/>
        </w:rPr>
        <w:t xml:space="preserve">planning </w:t>
      </w:r>
      <w:r w:rsidR="00E85B67">
        <w:rPr>
          <w:i/>
        </w:rPr>
        <w:t xml:space="preserve">implementation in </w:t>
      </w:r>
      <w:r>
        <w:rPr>
          <w:i/>
        </w:rPr>
        <w:t>your</w:t>
      </w:r>
      <w:r w:rsidR="00E85B67">
        <w:rPr>
          <w:i/>
        </w:rPr>
        <w:t xml:space="preserve"> course. </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2190"/>
        <w:gridCol w:w="4515"/>
      </w:tblGrid>
      <w:tr w:rsidR="00FA78BC" w14:paraId="51DFA1A7" w14:textId="77777777">
        <w:tc>
          <w:tcPr>
            <w:tcW w:w="2655" w:type="dxa"/>
            <w:shd w:val="clear" w:color="auto" w:fill="auto"/>
            <w:tcMar>
              <w:top w:w="100" w:type="dxa"/>
              <w:left w:w="100" w:type="dxa"/>
              <w:bottom w:w="100" w:type="dxa"/>
              <w:right w:w="100" w:type="dxa"/>
            </w:tcMar>
          </w:tcPr>
          <w:p w14:paraId="37FA87BC" w14:textId="77777777" w:rsidR="00FA78BC" w:rsidRDefault="00E85B67">
            <w:pPr>
              <w:widowControl w:val="0"/>
              <w:pBdr>
                <w:top w:val="nil"/>
                <w:left w:val="nil"/>
                <w:bottom w:val="nil"/>
                <w:right w:val="nil"/>
                <w:between w:val="nil"/>
              </w:pBdr>
              <w:spacing w:line="240" w:lineRule="auto"/>
            </w:pPr>
            <w:r>
              <w:t>Bioinformatics Resource</w:t>
            </w:r>
          </w:p>
        </w:tc>
        <w:tc>
          <w:tcPr>
            <w:tcW w:w="2190" w:type="dxa"/>
            <w:shd w:val="clear" w:color="auto" w:fill="auto"/>
            <w:tcMar>
              <w:top w:w="100" w:type="dxa"/>
              <w:left w:w="100" w:type="dxa"/>
              <w:bottom w:w="100" w:type="dxa"/>
              <w:right w:w="100" w:type="dxa"/>
            </w:tcMar>
          </w:tcPr>
          <w:p w14:paraId="2136145C" w14:textId="77777777" w:rsidR="00FA78BC" w:rsidRDefault="00E85B67">
            <w:pPr>
              <w:widowControl w:val="0"/>
              <w:pBdr>
                <w:top w:val="nil"/>
                <w:left w:val="nil"/>
                <w:bottom w:val="nil"/>
                <w:right w:val="nil"/>
                <w:between w:val="nil"/>
              </w:pBdr>
              <w:spacing w:line="240" w:lineRule="auto"/>
            </w:pPr>
            <w:r>
              <w:t>Used (mark with x)</w:t>
            </w:r>
          </w:p>
        </w:tc>
        <w:tc>
          <w:tcPr>
            <w:tcW w:w="4515" w:type="dxa"/>
            <w:shd w:val="clear" w:color="auto" w:fill="auto"/>
            <w:tcMar>
              <w:top w:w="100" w:type="dxa"/>
              <w:left w:w="100" w:type="dxa"/>
              <w:bottom w:w="100" w:type="dxa"/>
              <w:right w:w="100" w:type="dxa"/>
            </w:tcMar>
          </w:tcPr>
          <w:p w14:paraId="32B7D7D4" w14:textId="77777777" w:rsidR="00FA78BC" w:rsidRDefault="00E85B67">
            <w:pPr>
              <w:widowControl w:val="0"/>
              <w:pBdr>
                <w:top w:val="nil"/>
                <w:left w:val="nil"/>
                <w:bottom w:val="nil"/>
                <w:right w:val="nil"/>
                <w:between w:val="nil"/>
              </w:pBdr>
              <w:spacing w:line="240" w:lineRule="auto"/>
            </w:pPr>
            <w:r>
              <w:t xml:space="preserve">Task accomplished in the MCS </w:t>
            </w:r>
          </w:p>
        </w:tc>
      </w:tr>
      <w:tr w:rsidR="00FA78BC" w14:paraId="3946C3BF" w14:textId="77777777">
        <w:tc>
          <w:tcPr>
            <w:tcW w:w="2655" w:type="dxa"/>
            <w:shd w:val="clear" w:color="auto" w:fill="auto"/>
            <w:tcMar>
              <w:top w:w="100" w:type="dxa"/>
              <w:left w:w="100" w:type="dxa"/>
              <w:bottom w:w="100" w:type="dxa"/>
              <w:right w:w="100" w:type="dxa"/>
            </w:tcMar>
          </w:tcPr>
          <w:p w14:paraId="0B496202" w14:textId="77777777" w:rsidR="00FA78BC" w:rsidRDefault="00E85B67">
            <w:pPr>
              <w:widowControl w:val="0"/>
              <w:pBdr>
                <w:top w:val="nil"/>
                <w:left w:val="nil"/>
                <w:bottom w:val="nil"/>
                <w:right w:val="nil"/>
                <w:between w:val="nil"/>
              </w:pBdr>
              <w:spacing w:line="240" w:lineRule="auto"/>
            </w:pPr>
            <w:r>
              <w:t xml:space="preserve"> </w:t>
            </w:r>
            <w:proofErr w:type="spellStart"/>
            <w:r>
              <w:t>UniProt</w:t>
            </w:r>
            <w:proofErr w:type="spellEnd"/>
          </w:p>
        </w:tc>
        <w:tc>
          <w:tcPr>
            <w:tcW w:w="2190" w:type="dxa"/>
            <w:shd w:val="clear" w:color="auto" w:fill="auto"/>
            <w:tcMar>
              <w:top w:w="100" w:type="dxa"/>
              <w:left w:w="100" w:type="dxa"/>
              <w:bottom w:w="100" w:type="dxa"/>
              <w:right w:w="100" w:type="dxa"/>
            </w:tcMar>
          </w:tcPr>
          <w:p w14:paraId="19418E24" w14:textId="77777777" w:rsidR="00FA78BC" w:rsidRDefault="00E85B67">
            <w:pPr>
              <w:widowControl w:val="0"/>
              <w:pBdr>
                <w:top w:val="nil"/>
                <w:left w:val="nil"/>
                <w:bottom w:val="nil"/>
                <w:right w:val="nil"/>
                <w:between w:val="nil"/>
              </w:pBdr>
              <w:spacing w:line="240" w:lineRule="auto"/>
              <w:rPr>
                <w:color w:val="0000FF"/>
              </w:rPr>
            </w:pPr>
            <w:r>
              <w:rPr>
                <w:color w:val="0000FF"/>
              </w:rPr>
              <w:t>X</w:t>
            </w:r>
          </w:p>
        </w:tc>
        <w:tc>
          <w:tcPr>
            <w:tcW w:w="4515" w:type="dxa"/>
            <w:shd w:val="clear" w:color="auto" w:fill="auto"/>
            <w:tcMar>
              <w:top w:w="100" w:type="dxa"/>
              <w:left w:w="100" w:type="dxa"/>
              <w:bottom w:w="100" w:type="dxa"/>
              <w:right w:w="100" w:type="dxa"/>
            </w:tcMar>
          </w:tcPr>
          <w:p w14:paraId="02F6C363" w14:textId="77777777" w:rsidR="00FA78BC" w:rsidRDefault="00E85B67">
            <w:pPr>
              <w:jc w:val="both"/>
              <w:rPr>
                <w:color w:val="0000FF"/>
              </w:rPr>
            </w:pPr>
            <w:r>
              <w:rPr>
                <w:color w:val="0000FF"/>
              </w:rPr>
              <w:t>To find specific sequences for Plasmodium falciparum and human</w:t>
            </w:r>
            <w:r>
              <w:rPr>
                <w:b/>
                <w:color w:val="0000FF"/>
                <w:sz w:val="26"/>
                <w:szCs w:val="26"/>
              </w:rPr>
              <w:t xml:space="preserve"> </w:t>
            </w:r>
            <w:r>
              <w:rPr>
                <w:color w:val="0000FF"/>
              </w:rPr>
              <w:t>LDH</w:t>
            </w:r>
          </w:p>
          <w:p w14:paraId="4FB26B4E" w14:textId="77777777" w:rsidR="00FA78BC" w:rsidRDefault="00E85B67">
            <w:pPr>
              <w:jc w:val="both"/>
              <w:rPr>
                <w:color w:val="0000FF"/>
              </w:rPr>
            </w:pPr>
            <w:r>
              <w:rPr>
                <w:color w:val="0000FF"/>
              </w:rPr>
              <w:t xml:space="preserve">To link to </w:t>
            </w:r>
            <w:proofErr w:type="spellStart"/>
            <w:r>
              <w:rPr>
                <w:color w:val="0000FF"/>
              </w:rPr>
              <w:t>Protparam</w:t>
            </w:r>
            <w:proofErr w:type="spellEnd"/>
            <w:r>
              <w:rPr>
                <w:color w:val="0000FF"/>
              </w:rPr>
              <w:t xml:space="preserve"> Tool to retrieve basic physicochemical information about the sequences</w:t>
            </w:r>
          </w:p>
          <w:p w14:paraId="0ACB6DFA" w14:textId="77777777" w:rsidR="00FA78BC" w:rsidRPr="00DF10EC" w:rsidRDefault="00E85B67" w:rsidP="00DF10EC">
            <w:pPr>
              <w:jc w:val="both"/>
              <w:rPr>
                <w:color w:val="0000FF"/>
              </w:rPr>
            </w:pPr>
            <w:r>
              <w:rPr>
                <w:color w:val="0000FF"/>
              </w:rPr>
              <w:t xml:space="preserve">To link to Align Tool to align the two sequences and to compare and contrast them using the </w:t>
            </w:r>
            <w:proofErr w:type="gramStart"/>
            <w:r>
              <w:rPr>
                <w:color w:val="0000FF"/>
              </w:rPr>
              <w:t>built in</w:t>
            </w:r>
            <w:proofErr w:type="gramEnd"/>
            <w:r>
              <w:rPr>
                <w:color w:val="0000FF"/>
              </w:rPr>
              <w:t xml:space="preserve"> criteria (Physical Properties, Chemical Properties, and sequence specific properties derived from annotations)</w:t>
            </w:r>
          </w:p>
        </w:tc>
      </w:tr>
      <w:tr w:rsidR="00FA78BC" w14:paraId="32F53FD5" w14:textId="77777777">
        <w:tc>
          <w:tcPr>
            <w:tcW w:w="2655" w:type="dxa"/>
            <w:shd w:val="clear" w:color="auto" w:fill="auto"/>
            <w:tcMar>
              <w:top w:w="100" w:type="dxa"/>
              <w:left w:w="100" w:type="dxa"/>
              <w:bottom w:w="100" w:type="dxa"/>
              <w:right w:w="100" w:type="dxa"/>
            </w:tcMar>
          </w:tcPr>
          <w:p w14:paraId="6AD04B81" w14:textId="77777777" w:rsidR="00FA78BC" w:rsidRDefault="00E85B67">
            <w:pPr>
              <w:widowControl w:val="0"/>
              <w:spacing w:line="240" w:lineRule="auto"/>
            </w:pPr>
            <w:r>
              <w:t>KEGG</w:t>
            </w:r>
          </w:p>
        </w:tc>
        <w:tc>
          <w:tcPr>
            <w:tcW w:w="2190" w:type="dxa"/>
            <w:shd w:val="clear" w:color="auto" w:fill="auto"/>
            <w:tcMar>
              <w:top w:w="100" w:type="dxa"/>
              <w:left w:w="100" w:type="dxa"/>
              <w:bottom w:w="100" w:type="dxa"/>
              <w:right w:w="100" w:type="dxa"/>
            </w:tcMar>
          </w:tcPr>
          <w:p w14:paraId="53ED7AE4" w14:textId="77777777" w:rsidR="00FA78BC" w:rsidRDefault="00FA78BC">
            <w:pPr>
              <w:widowControl w:val="0"/>
              <w:spacing w:line="240" w:lineRule="auto"/>
            </w:pPr>
          </w:p>
        </w:tc>
        <w:tc>
          <w:tcPr>
            <w:tcW w:w="4515" w:type="dxa"/>
            <w:shd w:val="clear" w:color="auto" w:fill="auto"/>
            <w:tcMar>
              <w:top w:w="100" w:type="dxa"/>
              <w:left w:w="100" w:type="dxa"/>
              <w:bottom w:w="100" w:type="dxa"/>
              <w:right w:w="100" w:type="dxa"/>
            </w:tcMar>
          </w:tcPr>
          <w:p w14:paraId="58904D60" w14:textId="77777777" w:rsidR="00FA78BC" w:rsidRDefault="00FA78BC">
            <w:pPr>
              <w:widowControl w:val="0"/>
              <w:pBdr>
                <w:top w:val="nil"/>
                <w:left w:val="nil"/>
                <w:bottom w:val="nil"/>
                <w:right w:val="nil"/>
                <w:between w:val="nil"/>
              </w:pBdr>
              <w:spacing w:line="240" w:lineRule="auto"/>
              <w:rPr>
                <w:sz w:val="20"/>
                <w:szCs w:val="20"/>
              </w:rPr>
            </w:pPr>
          </w:p>
        </w:tc>
      </w:tr>
      <w:tr w:rsidR="00FA78BC" w14:paraId="1C535CEB" w14:textId="77777777">
        <w:tc>
          <w:tcPr>
            <w:tcW w:w="2655" w:type="dxa"/>
            <w:shd w:val="clear" w:color="auto" w:fill="auto"/>
            <w:tcMar>
              <w:top w:w="100" w:type="dxa"/>
              <w:left w:w="100" w:type="dxa"/>
              <w:bottom w:w="100" w:type="dxa"/>
              <w:right w:w="100" w:type="dxa"/>
            </w:tcMar>
          </w:tcPr>
          <w:p w14:paraId="059E8DB2" w14:textId="77777777" w:rsidR="00FA78BC" w:rsidRDefault="00E85B67">
            <w:pPr>
              <w:widowControl w:val="0"/>
              <w:spacing w:line="240" w:lineRule="auto"/>
            </w:pPr>
            <w:r>
              <w:t>Binding DB</w:t>
            </w:r>
          </w:p>
        </w:tc>
        <w:tc>
          <w:tcPr>
            <w:tcW w:w="2190" w:type="dxa"/>
            <w:shd w:val="clear" w:color="auto" w:fill="auto"/>
            <w:tcMar>
              <w:top w:w="100" w:type="dxa"/>
              <w:left w:w="100" w:type="dxa"/>
              <w:bottom w:w="100" w:type="dxa"/>
              <w:right w:w="100" w:type="dxa"/>
            </w:tcMar>
          </w:tcPr>
          <w:p w14:paraId="2EAEABCC" w14:textId="77777777" w:rsidR="00FA78BC" w:rsidRDefault="00E85B67">
            <w:pPr>
              <w:widowControl w:val="0"/>
              <w:spacing w:line="240" w:lineRule="auto"/>
              <w:rPr>
                <w:color w:val="0000FF"/>
              </w:rPr>
            </w:pPr>
            <w:r>
              <w:rPr>
                <w:color w:val="0000FF"/>
              </w:rPr>
              <w:t>X</w:t>
            </w:r>
          </w:p>
        </w:tc>
        <w:tc>
          <w:tcPr>
            <w:tcW w:w="4515" w:type="dxa"/>
            <w:shd w:val="clear" w:color="auto" w:fill="auto"/>
            <w:tcMar>
              <w:top w:w="100" w:type="dxa"/>
              <w:left w:w="100" w:type="dxa"/>
              <w:bottom w:w="100" w:type="dxa"/>
              <w:right w:w="100" w:type="dxa"/>
            </w:tcMar>
          </w:tcPr>
          <w:p w14:paraId="7E018B8B" w14:textId="77777777" w:rsidR="00FA78BC" w:rsidRDefault="00E85B67">
            <w:pPr>
              <w:widowControl w:val="0"/>
              <w:pBdr>
                <w:top w:val="nil"/>
                <w:left w:val="nil"/>
                <w:bottom w:val="nil"/>
                <w:right w:val="nil"/>
                <w:between w:val="nil"/>
              </w:pBdr>
              <w:spacing w:line="240" w:lineRule="auto"/>
              <w:rPr>
                <w:color w:val="0000FF"/>
              </w:rPr>
            </w:pPr>
            <w:r>
              <w:rPr>
                <w:color w:val="0000FF"/>
              </w:rPr>
              <w:t>To obtain the K</w:t>
            </w:r>
            <w:r>
              <w:rPr>
                <w:color w:val="0000FF"/>
                <w:vertAlign w:val="subscript"/>
              </w:rPr>
              <w:t>I</w:t>
            </w:r>
            <w:r>
              <w:rPr>
                <w:color w:val="0000FF"/>
              </w:rPr>
              <w:t xml:space="preserve"> of the inhibitor drug (OXQ)</w:t>
            </w:r>
          </w:p>
        </w:tc>
      </w:tr>
      <w:tr w:rsidR="00FA78BC" w14:paraId="14C8C3A1" w14:textId="77777777">
        <w:tc>
          <w:tcPr>
            <w:tcW w:w="2655" w:type="dxa"/>
            <w:shd w:val="clear" w:color="auto" w:fill="auto"/>
            <w:tcMar>
              <w:top w:w="100" w:type="dxa"/>
              <w:left w:w="100" w:type="dxa"/>
              <w:bottom w:w="100" w:type="dxa"/>
              <w:right w:w="100" w:type="dxa"/>
            </w:tcMar>
          </w:tcPr>
          <w:p w14:paraId="45205BF1" w14:textId="77777777" w:rsidR="00FA78BC" w:rsidRDefault="00E85B67">
            <w:pPr>
              <w:widowControl w:val="0"/>
              <w:spacing w:line="240" w:lineRule="auto"/>
            </w:pPr>
            <w:proofErr w:type="spellStart"/>
            <w:r>
              <w:t>DrugBank</w:t>
            </w:r>
            <w:proofErr w:type="spellEnd"/>
            <w:r>
              <w:t xml:space="preserve"> </w:t>
            </w:r>
          </w:p>
        </w:tc>
        <w:tc>
          <w:tcPr>
            <w:tcW w:w="2190" w:type="dxa"/>
            <w:shd w:val="clear" w:color="auto" w:fill="auto"/>
            <w:tcMar>
              <w:top w:w="100" w:type="dxa"/>
              <w:left w:w="100" w:type="dxa"/>
              <w:bottom w:w="100" w:type="dxa"/>
              <w:right w:w="100" w:type="dxa"/>
            </w:tcMar>
          </w:tcPr>
          <w:p w14:paraId="05740BB7" w14:textId="77777777" w:rsidR="00FA78BC" w:rsidRDefault="00E85B67">
            <w:pPr>
              <w:widowControl w:val="0"/>
              <w:spacing w:line="240" w:lineRule="auto"/>
              <w:rPr>
                <w:color w:val="0000FF"/>
              </w:rPr>
            </w:pPr>
            <w:r>
              <w:rPr>
                <w:color w:val="0000FF"/>
              </w:rPr>
              <w:t>X</w:t>
            </w:r>
          </w:p>
        </w:tc>
        <w:tc>
          <w:tcPr>
            <w:tcW w:w="4515" w:type="dxa"/>
            <w:shd w:val="clear" w:color="auto" w:fill="auto"/>
            <w:tcMar>
              <w:top w:w="100" w:type="dxa"/>
              <w:left w:w="100" w:type="dxa"/>
              <w:bottom w:w="100" w:type="dxa"/>
              <w:right w:w="100" w:type="dxa"/>
            </w:tcMar>
          </w:tcPr>
          <w:p w14:paraId="4FF212D1" w14:textId="77777777" w:rsidR="00FA78BC" w:rsidRDefault="00E85B67">
            <w:pPr>
              <w:widowControl w:val="0"/>
              <w:pBdr>
                <w:top w:val="nil"/>
                <w:left w:val="nil"/>
                <w:bottom w:val="nil"/>
                <w:right w:val="nil"/>
                <w:between w:val="nil"/>
              </w:pBdr>
              <w:spacing w:line="240" w:lineRule="auto"/>
              <w:rPr>
                <w:color w:val="0000FF"/>
              </w:rPr>
            </w:pPr>
            <w:r>
              <w:rPr>
                <w:color w:val="0000FF"/>
              </w:rPr>
              <w:t>The development and uses of Chloroquine (discussed in the assessment section)</w:t>
            </w:r>
          </w:p>
        </w:tc>
      </w:tr>
      <w:tr w:rsidR="00FA78BC" w14:paraId="1E13F2CC" w14:textId="77777777">
        <w:tc>
          <w:tcPr>
            <w:tcW w:w="2655" w:type="dxa"/>
            <w:shd w:val="clear" w:color="auto" w:fill="auto"/>
            <w:tcMar>
              <w:top w:w="100" w:type="dxa"/>
              <w:left w:w="100" w:type="dxa"/>
              <w:bottom w:w="100" w:type="dxa"/>
              <w:right w:w="100" w:type="dxa"/>
            </w:tcMar>
          </w:tcPr>
          <w:p w14:paraId="7505B9F2" w14:textId="77777777" w:rsidR="00FA78BC" w:rsidRDefault="00E85B67">
            <w:pPr>
              <w:widowControl w:val="0"/>
              <w:spacing w:line="240" w:lineRule="auto"/>
            </w:pPr>
            <w:r>
              <w:t>Gene Ontology</w:t>
            </w:r>
          </w:p>
        </w:tc>
        <w:tc>
          <w:tcPr>
            <w:tcW w:w="2190" w:type="dxa"/>
            <w:shd w:val="clear" w:color="auto" w:fill="auto"/>
            <w:tcMar>
              <w:top w:w="100" w:type="dxa"/>
              <w:left w:w="100" w:type="dxa"/>
              <w:bottom w:w="100" w:type="dxa"/>
              <w:right w:w="100" w:type="dxa"/>
            </w:tcMar>
          </w:tcPr>
          <w:p w14:paraId="77BB7D89" w14:textId="77777777" w:rsidR="00FA78BC" w:rsidRDefault="00FA78BC">
            <w:pPr>
              <w:widowControl w:val="0"/>
              <w:spacing w:line="240" w:lineRule="auto"/>
            </w:pPr>
          </w:p>
        </w:tc>
        <w:tc>
          <w:tcPr>
            <w:tcW w:w="4515" w:type="dxa"/>
            <w:shd w:val="clear" w:color="auto" w:fill="auto"/>
            <w:tcMar>
              <w:top w:w="100" w:type="dxa"/>
              <w:left w:w="100" w:type="dxa"/>
              <w:bottom w:w="100" w:type="dxa"/>
              <w:right w:w="100" w:type="dxa"/>
            </w:tcMar>
          </w:tcPr>
          <w:p w14:paraId="6ECBDE16" w14:textId="77777777" w:rsidR="00FA78BC" w:rsidRDefault="00FA78BC">
            <w:pPr>
              <w:widowControl w:val="0"/>
              <w:pBdr>
                <w:top w:val="nil"/>
                <w:left w:val="nil"/>
                <w:bottom w:val="nil"/>
                <w:right w:val="nil"/>
                <w:between w:val="nil"/>
              </w:pBdr>
              <w:spacing w:line="240" w:lineRule="auto"/>
            </w:pPr>
          </w:p>
        </w:tc>
      </w:tr>
      <w:tr w:rsidR="00FA78BC" w14:paraId="7CA7F269" w14:textId="77777777">
        <w:tc>
          <w:tcPr>
            <w:tcW w:w="2655" w:type="dxa"/>
            <w:shd w:val="clear" w:color="auto" w:fill="auto"/>
            <w:tcMar>
              <w:top w:w="100" w:type="dxa"/>
              <w:left w:w="100" w:type="dxa"/>
              <w:bottom w:w="100" w:type="dxa"/>
              <w:right w:w="100" w:type="dxa"/>
            </w:tcMar>
          </w:tcPr>
          <w:p w14:paraId="7E5638DF" w14:textId="77777777" w:rsidR="00FA78BC" w:rsidRDefault="00E85B67">
            <w:pPr>
              <w:widowControl w:val="0"/>
              <w:spacing w:line="240" w:lineRule="auto"/>
            </w:pPr>
            <w:r>
              <w:t xml:space="preserve">Other </w:t>
            </w:r>
          </w:p>
        </w:tc>
        <w:tc>
          <w:tcPr>
            <w:tcW w:w="2190" w:type="dxa"/>
            <w:shd w:val="clear" w:color="auto" w:fill="auto"/>
            <w:tcMar>
              <w:top w:w="100" w:type="dxa"/>
              <w:left w:w="100" w:type="dxa"/>
              <w:bottom w:w="100" w:type="dxa"/>
              <w:right w:w="100" w:type="dxa"/>
            </w:tcMar>
          </w:tcPr>
          <w:p w14:paraId="4CD0CF21" w14:textId="77777777" w:rsidR="00FA78BC" w:rsidRDefault="00FA78BC">
            <w:pPr>
              <w:widowControl w:val="0"/>
              <w:spacing w:line="240" w:lineRule="auto"/>
            </w:pPr>
          </w:p>
        </w:tc>
        <w:tc>
          <w:tcPr>
            <w:tcW w:w="4515" w:type="dxa"/>
            <w:shd w:val="clear" w:color="auto" w:fill="auto"/>
            <w:tcMar>
              <w:top w:w="100" w:type="dxa"/>
              <w:left w:w="100" w:type="dxa"/>
              <w:bottom w:w="100" w:type="dxa"/>
              <w:right w:w="100" w:type="dxa"/>
            </w:tcMar>
          </w:tcPr>
          <w:p w14:paraId="01A6F23E" w14:textId="77777777" w:rsidR="00FA78BC" w:rsidRDefault="00FA78BC">
            <w:pPr>
              <w:widowControl w:val="0"/>
              <w:pBdr>
                <w:top w:val="nil"/>
                <w:left w:val="nil"/>
                <w:bottom w:val="nil"/>
                <w:right w:val="nil"/>
                <w:between w:val="nil"/>
              </w:pBdr>
              <w:spacing w:line="240" w:lineRule="auto"/>
            </w:pPr>
          </w:p>
        </w:tc>
      </w:tr>
    </w:tbl>
    <w:p w14:paraId="520BA7B2" w14:textId="77777777" w:rsidR="00FA78BC" w:rsidRDefault="00FA78BC"/>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5640"/>
      </w:tblGrid>
      <w:tr w:rsidR="00FA78BC" w14:paraId="51B7C40A" w14:textId="77777777">
        <w:tc>
          <w:tcPr>
            <w:tcW w:w="3720" w:type="dxa"/>
            <w:shd w:val="clear" w:color="auto" w:fill="auto"/>
            <w:tcMar>
              <w:top w:w="100" w:type="dxa"/>
              <w:left w:w="100" w:type="dxa"/>
              <w:bottom w:w="100" w:type="dxa"/>
              <w:right w:w="100" w:type="dxa"/>
            </w:tcMar>
          </w:tcPr>
          <w:p w14:paraId="242D3F4B" w14:textId="77777777" w:rsidR="00FA78BC" w:rsidRDefault="00E85B67">
            <w:pPr>
              <w:widowControl w:val="0"/>
              <w:spacing w:line="240" w:lineRule="auto"/>
            </w:pPr>
            <w:r>
              <w:t>Name of Bioinformatics or Molecular Visualization Tool</w:t>
            </w:r>
          </w:p>
        </w:tc>
        <w:tc>
          <w:tcPr>
            <w:tcW w:w="5640" w:type="dxa"/>
            <w:shd w:val="clear" w:color="auto" w:fill="auto"/>
            <w:tcMar>
              <w:top w:w="100" w:type="dxa"/>
              <w:left w:w="100" w:type="dxa"/>
              <w:bottom w:w="100" w:type="dxa"/>
              <w:right w:w="100" w:type="dxa"/>
            </w:tcMar>
          </w:tcPr>
          <w:p w14:paraId="76E1DBBC" w14:textId="77777777" w:rsidR="00FA78BC" w:rsidRDefault="00E85B67">
            <w:pPr>
              <w:widowControl w:val="0"/>
              <w:spacing w:line="240" w:lineRule="auto"/>
            </w:pPr>
            <w:r>
              <w:t xml:space="preserve">Task accomplished in the MCS </w:t>
            </w:r>
          </w:p>
        </w:tc>
      </w:tr>
      <w:tr w:rsidR="00FA78BC" w14:paraId="6A02061B" w14:textId="77777777">
        <w:tc>
          <w:tcPr>
            <w:tcW w:w="3720" w:type="dxa"/>
            <w:shd w:val="clear" w:color="auto" w:fill="auto"/>
            <w:tcMar>
              <w:top w:w="100" w:type="dxa"/>
              <w:left w:w="100" w:type="dxa"/>
              <w:bottom w:w="100" w:type="dxa"/>
              <w:right w:w="100" w:type="dxa"/>
            </w:tcMar>
          </w:tcPr>
          <w:p w14:paraId="11E8A082" w14:textId="77777777" w:rsidR="00FA78BC" w:rsidRDefault="00B76824">
            <w:pPr>
              <w:widowControl w:val="0"/>
              <w:spacing w:line="240" w:lineRule="auto"/>
            </w:pPr>
            <w:sdt>
              <w:sdtPr>
                <w:tag w:val="goog_rdk_2"/>
                <w:id w:val="-1880387083"/>
              </w:sdtPr>
              <w:sdtEndPr/>
              <w:sdtContent/>
            </w:sdt>
            <w:r w:rsidR="00E85B67">
              <w:t>Pairwise Structure Alignment tool</w:t>
            </w:r>
          </w:p>
        </w:tc>
        <w:tc>
          <w:tcPr>
            <w:tcW w:w="5640" w:type="dxa"/>
            <w:shd w:val="clear" w:color="auto" w:fill="auto"/>
            <w:tcMar>
              <w:top w:w="100" w:type="dxa"/>
              <w:left w:w="100" w:type="dxa"/>
              <w:bottom w:w="100" w:type="dxa"/>
              <w:right w:w="100" w:type="dxa"/>
            </w:tcMar>
          </w:tcPr>
          <w:p w14:paraId="24624BC8" w14:textId="77777777" w:rsidR="00FA78BC" w:rsidRDefault="00E85B67">
            <w:pPr>
              <w:widowControl w:val="0"/>
              <w:spacing w:line="240" w:lineRule="auto"/>
              <w:rPr>
                <w:color w:val="0000FF"/>
              </w:rPr>
            </w:pPr>
            <w:r>
              <w:rPr>
                <w:color w:val="0000FF"/>
              </w:rPr>
              <w:t xml:space="preserve">Align Tool within </w:t>
            </w:r>
            <w:proofErr w:type="spellStart"/>
            <w:r>
              <w:rPr>
                <w:color w:val="0000FF"/>
              </w:rPr>
              <w:t>UniProt</w:t>
            </w:r>
            <w:proofErr w:type="spellEnd"/>
            <w:r>
              <w:rPr>
                <w:color w:val="0000FF"/>
              </w:rPr>
              <w:t xml:space="preserve"> to align sequences.</w:t>
            </w:r>
          </w:p>
        </w:tc>
      </w:tr>
      <w:tr w:rsidR="00FA78BC" w14:paraId="70402C42" w14:textId="77777777">
        <w:tc>
          <w:tcPr>
            <w:tcW w:w="3720" w:type="dxa"/>
            <w:shd w:val="clear" w:color="auto" w:fill="auto"/>
            <w:tcMar>
              <w:top w:w="100" w:type="dxa"/>
              <w:left w:w="100" w:type="dxa"/>
              <w:bottom w:w="100" w:type="dxa"/>
              <w:right w:w="100" w:type="dxa"/>
            </w:tcMar>
          </w:tcPr>
          <w:p w14:paraId="6AB11A77" w14:textId="77777777" w:rsidR="00FA78BC" w:rsidRDefault="00E85B67">
            <w:pPr>
              <w:widowControl w:val="0"/>
              <w:spacing w:line="240" w:lineRule="auto"/>
            </w:pPr>
            <w:r>
              <w:t xml:space="preserve">Mol* </w:t>
            </w:r>
          </w:p>
        </w:tc>
        <w:tc>
          <w:tcPr>
            <w:tcW w:w="5640" w:type="dxa"/>
            <w:shd w:val="clear" w:color="auto" w:fill="auto"/>
            <w:tcMar>
              <w:top w:w="100" w:type="dxa"/>
              <w:left w:w="100" w:type="dxa"/>
              <w:bottom w:w="100" w:type="dxa"/>
              <w:right w:w="100" w:type="dxa"/>
            </w:tcMar>
          </w:tcPr>
          <w:p w14:paraId="27512D36" w14:textId="77777777" w:rsidR="00FA78BC" w:rsidRDefault="00E85B67">
            <w:pPr>
              <w:widowControl w:val="0"/>
              <w:spacing w:line="240" w:lineRule="auto"/>
              <w:rPr>
                <w:color w:val="0000FF"/>
              </w:rPr>
            </w:pPr>
            <w:r>
              <w:rPr>
                <w:color w:val="0000FF"/>
              </w:rPr>
              <w:t>To visualize</w:t>
            </w:r>
            <w:r w:rsidR="00071EBB">
              <w:rPr>
                <w:color w:val="0000FF"/>
              </w:rPr>
              <w:t xml:space="preserve"> the structures of</w:t>
            </w:r>
            <w:r>
              <w:rPr>
                <w:color w:val="0000FF"/>
              </w:rPr>
              <w:t xml:space="preserve"> </w:t>
            </w:r>
            <w:proofErr w:type="spellStart"/>
            <w:r>
              <w:rPr>
                <w:color w:val="0000FF"/>
              </w:rPr>
              <w:t>pfLDH</w:t>
            </w:r>
            <w:proofErr w:type="spellEnd"/>
            <w:r>
              <w:rPr>
                <w:color w:val="0000FF"/>
              </w:rPr>
              <w:t xml:space="preserve"> and </w:t>
            </w:r>
            <w:proofErr w:type="spellStart"/>
            <w:r>
              <w:rPr>
                <w:color w:val="0000FF"/>
              </w:rPr>
              <w:t>hLDH</w:t>
            </w:r>
            <w:proofErr w:type="spellEnd"/>
            <w:r>
              <w:rPr>
                <w:color w:val="0000FF"/>
              </w:rPr>
              <w:t>-B with and without different ligands. Students also use this tool to measure distances and display non-covalent interactions.</w:t>
            </w:r>
          </w:p>
        </w:tc>
      </w:tr>
    </w:tbl>
    <w:p w14:paraId="68EED04B" w14:textId="77777777" w:rsidR="00FA78BC" w:rsidRDefault="00FA78BC"/>
    <w:p w14:paraId="2CB9B1E0" w14:textId="77777777" w:rsidR="00FA78BC" w:rsidRDefault="00E85B67">
      <w:pPr>
        <w:numPr>
          <w:ilvl w:val="0"/>
          <w:numId w:val="4"/>
        </w:numPr>
        <w:rPr>
          <w:b/>
        </w:rPr>
      </w:pPr>
      <w:r>
        <w:rPr>
          <w:b/>
          <w:u w:val="single"/>
        </w:rPr>
        <w:t xml:space="preserve">SUGGESTED IMPLEMENTATION </w:t>
      </w:r>
    </w:p>
    <w:p w14:paraId="6AE9B60A" w14:textId="77777777" w:rsidR="00FA78BC" w:rsidRDefault="00E85B67">
      <w:r>
        <w:rPr>
          <w:i/>
        </w:rPr>
        <w:t xml:space="preserve">This section can help teachers select, prepare, and implement the case study. </w:t>
      </w:r>
    </w:p>
    <w:p w14:paraId="22F98B68" w14:textId="39B97275" w:rsidR="00FA78BC" w:rsidRDefault="00E85B67">
      <w:r>
        <w:rPr>
          <w:b/>
        </w:rPr>
        <w:lastRenderedPageBreak/>
        <w:t>D1. Prerequisites (if any) –</w:t>
      </w:r>
      <w:r w:rsidR="00BB77BA">
        <w:rPr>
          <w:i/>
        </w:rPr>
        <w:t xml:space="preserve"> e.g., </w:t>
      </w:r>
      <w:r>
        <w:rPr>
          <w:i/>
        </w:rPr>
        <w:t>skills, concepts</w:t>
      </w:r>
      <w:r w:rsidR="0062382D">
        <w:rPr>
          <w:i/>
        </w:rPr>
        <w:t>,</w:t>
      </w:r>
      <w:r>
        <w:rPr>
          <w:i/>
        </w:rPr>
        <w:t xml:space="preserve"> and resources that instructors and students should know about </w:t>
      </w:r>
      <w:r w:rsidR="00BB77BA">
        <w:rPr>
          <w:i/>
        </w:rPr>
        <w:t>in order to participate in the case study</w:t>
      </w:r>
      <w:r>
        <w:t xml:space="preserve">.  </w:t>
      </w:r>
    </w:p>
    <w:p w14:paraId="5A65CC4D" w14:textId="77777777" w:rsidR="00FA78BC" w:rsidRDefault="00E85B67">
      <w:pPr>
        <w:widowControl w:val="0"/>
        <w:spacing w:line="240" w:lineRule="auto"/>
        <w:rPr>
          <w:color w:val="0000FF"/>
        </w:rPr>
      </w:pPr>
      <w:r>
        <w:rPr>
          <w:color w:val="0000FF"/>
        </w:rPr>
        <w:t>This case uses Mol* as the molecular visualization tool to explore structures.  Even though it does not assume that the students have used the tool before, familiarity with the platform using smaller activities would certainly decrease the cognitive load on the students and play a role in how much time it will take for students to complete each question.</w:t>
      </w:r>
    </w:p>
    <w:p w14:paraId="0E14FD71" w14:textId="77777777" w:rsidR="0062382D" w:rsidRDefault="0062382D">
      <w:pPr>
        <w:widowControl w:val="0"/>
        <w:spacing w:line="240" w:lineRule="auto"/>
        <w:rPr>
          <w:color w:val="0000FF"/>
        </w:rPr>
      </w:pPr>
    </w:p>
    <w:p w14:paraId="0E5B96AB" w14:textId="70FF52B6" w:rsidR="00FA78BC" w:rsidRDefault="00E85B67">
      <w:pPr>
        <w:widowControl w:val="0"/>
        <w:spacing w:line="240" w:lineRule="auto"/>
        <w:rPr>
          <w:color w:val="0000FF"/>
        </w:rPr>
      </w:pPr>
      <w:r>
        <w:rPr>
          <w:color w:val="0000FF"/>
        </w:rPr>
        <w:t>The bioinformatics section of the case is written with explicit instructions with no prior familiarity assumed.  However, if students are familiar with the idea of sequence alignment and the impact of amino acid conservation or changes at the sequence level on function more in depth exploration and discussion can be carried out.</w:t>
      </w:r>
    </w:p>
    <w:p w14:paraId="2B4B8AAF" w14:textId="77777777" w:rsidR="0062382D" w:rsidRDefault="0062382D">
      <w:pPr>
        <w:widowControl w:val="0"/>
        <w:spacing w:line="240" w:lineRule="auto"/>
        <w:rPr>
          <w:color w:val="0000FF"/>
        </w:rPr>
      </w:pPr>
    </w:p>
    <w:p w14:paraId="6AAFD8CA" w14:textId="564B8C20" w:rsidR="00FA78BC" w:rsidRDefault="00E85B67">
      <w:pPr>
        <w:widowControl w:val="0"/>
        <w:spacing w:line="240" w:lineRule="auto"/>
        <w:rPr>
          <w:color w:val="0000FF"/>
          <w:highlight w:val="yellow"/>
        </w:rPr>
      </w:pPr>
      <w:r>
        <w:rPr>
          <w:color w:val="0000FF"/>
        </w:rPr>
        <w:t>In terms of concepts, it is written with the intention to give students who have covered enzyme structure and kinetics a real case example to practice what they have learned and not to teach enzyme kinetics.  So</w:t>
      </w:r>
      <w:r w:rsidR="0062382D">
        <w:rPr>
          <w:color w:val="0000FF"/>
        </w:rPr>
        <w:t>,</w:t>
      </w:r>
      <w:r>
        <w:rPr>
          <w:color w:val="0000FF"/>
        </w:rPr>
        <w:t xml:space="preserve"> if students have never done enzyme kinetics either a mini lecture would be necessary. Similarly, the students are expected to be familiar with the main ideas and major steps of carbohydrate metabolism, especially the difference between the fates of pyruvate in aerobic vs anaerobic respiration.</w:t>
      </w:r>
    </w:p>
    <w:p w14:paraId="794FEEDB" w14:textId="77777777" w:rsidR="0062382D" w:rsidRDefault="0062382D">
      <w:pPr>
        <w:rPr>
          <w:b/>
        </w:rPr>
      </w:pPr>
    </w:p>
    <w:p w14:paraId="771C9FD6" w14:textId="7FB8AD2A" w:rsidR="00FA78BC" w:rsidRDefault="00E85B67">
      <w:r>
        <w:rPr>
          <w:b/>
        </w:rPr>
        <w:t>D2.a. Suggested Instructor Preparation</w:t>
      </w:r>
      <w:r>
        <w:t xml:space="preserve"> </w:t>
      </w:r>
      <w:r w:rsidR="00BB77BA">
        <w:t>–</w:t>
      </w:r>
      <w:r>
        <w:t xml:space="preserve"> </w:t>
      </w:r>
      <w:r w:rsidR="00BB77BA">
        <w:rPr>
          <w:i/>
        </w:rPr>
        <w:t>e.g.,</w:t>
      </w:r>
      <w:r>
        <w:rPr>
          <w:i/>
        </w:rPr>
        <w:t xml:space="preserve"> training in a specific molecular visualization program, reading a specific review article on the topic, preparing a lecture on topic/theme discussed in the case</w:t>
      </w:r>
      <w:r>
        <w:t xml:space="preserve"> -</w:t>
      </w:r>
    </w:p>
    <w:p w14:paraId="202CC882" w14:textId="77777777" w:rsidR="00FA78BC" w:rsidRDefault="00E85B67">
      <w:pPr>
        <w:rPr>
          <w:color w:val="0000FF"/>
        </w:rPr>
      </w:pPr>
      <w:r>
        <w:rPr>
          <w:color w:val="0000FF"/>
        </w:rPr>
        <w:t>Note: The level of required instructor preparation would depend on the level of students</w:t>
      </w:r>
      <w:r w:rsidR="00DF10EC">
        <w:rPr>
          <w:color w:val="0000FF"/>
        </w:rPr>
        <w:t>’</w:t>
      </w:r>
      <w:r>
        <w:rPr>
          <w:color w:val="0000FF"/>
        </w:rPr>
        <w:t xml:space="preserve"> comfort level in each of the mentioned areas.  The case does not assume prior knowledge, </w:t>
      </w:r>
      <w:r w:rsidR="00DF10EC">
        <w:rPr>
          <w:color w:val="0000FF"/>
        </w:rPr>
        <w:t>however,</w:t>
      </w:r>
      <w:r>
        <w:rPr>
          <w:color w:val="0000FF"/>
        </w:rPr>
        <w:t xml:space="preserve"> to facilitate productive discussions the instructor should have more familiarity with the concept and the skill s/he plans to focus on than the students.</w:t>
      </w:r>
    </w:p>
    <w:p w14:paraId="7114EF20" w14:textId="77777777" w:rsidR="00FA78BC" w:rsidRDefault="00E85B67">
      <w:pPr>
        <w:widowControl w:val="0"/>
        <w:numPr>
          <w:ilvl w:val="0"/>
          <w:numId w:val="9"/>
        </w:numPr>
        <w:tabs>
          <w:tab w:val="left" w:pos="819"/>
          <w:tab w:val="left" w:pos="820"/>
        </w:tabs>
        <w:spacing w:line="240" w:lineRule="auto"/>
        <w:rPr>
          <w:color w:val="0000FF"/>
        </w:rPr>
      </w:pPr>
      <w:r>
        <w:t xml:space="preserve">Instructor preparation Step 1: </w:t>
      </w:r>
      <w:r>
        <w:rPr>
          <w:color w:val="0000FF"/>
        </w:rPr>
        <w:t>Review of the metabolic step involving Lactate Dehydrogenase enzyme as well as a basic understanding of LDH structure and function including the idea of isozymes</w:t>
      </w:r>
    </w:p>
    <w:p w14:paraId="4B269EE7" w14:textId="77777777" w:rsidR="00FA78BC" w:rsidRDefault="00E85B67">
      <w:pPr>
        <w:widowControl w:val="0"/>
        <w:numPr>
          <w:ilvl w:val="0"/>
          <w:numId w:val="9"/>
        </w:numPr>
        <w:tabs>
          <w:tab w:val="left" w:pos="819"/>
          <w:tab w:val="left" w:pos="820"/>
        </w:tabs>
        <w:spacing w:before="38" w:line="240" w:lineRule="auto"/>
      </w:pPr>
      <w:r>
        <w:t xml:space="preserve">Instructor preparation Step 2: </w:t>
      </w:r>
      <w:r>
        <w:rPr>
          <w:color w:val="0000FF"/>
        </w:rPr>
        <w:t>Familiarity with Mol*</w:t>
      </w:r>
    </w:p>
    <w:p w14:paraId="23AADC8F" w14:textId="77777777" w:rsidR="00FA78BC" w:rsidRDefault="00E85B67">
      <w:pPr>
        <w:widowControl w:val="0"/>
        <w:numPr>
          <w:ilvl w:val="0"/>
          <w:numId w:val="9"/>
        </w:numPr>
        <w:tabs>
          <w:tab w:val="left" w:pos="819"/>
          <w:tab w:val="left" w:pos="820"/>
        </w:tabs>
        <w:spacing w:before="38" w:line="240" w:lineRule="auto"/>
      </w:pPr>
      <w:r>
        <w:t xml:space="preserve">Instructor preparation Step 3: </w:t>
      </w:r>
      <w:r>
        <w:rPr>
          <w:color w:val="0000FF"/>
        </w:rPr>
        <w:t xml:space="preserve">Familiarity with </w:t>
      </w:r>
      <w:proofErr w:type="spellStart"/>
      <w:r>
        <w:rPr>
          <w:color w:val="0000FF"/>
        </w:rPr>
        <w:t>UniProt</w:t>
      </w:r>
      <w:proofErr w:type="spellEnd"/>
    </w:p>
    <w:p w14:paraId="6CDC2F37" w14:textId="77777777" w:rsidR="00FA78BC" w:rsidRDefault="00E85B67">
      <w:pPr>
        <w:widowControl w:val="0"/>
        <w:numPr>
          <w:ilvl w:val="0"/>
          <w:numId w:val="9"/>
        </w:numPr>
        <w:tabs>
          <w:tab w:val="left" w:pos="819"/>
          <w:tab w:val="left" w:pos="820"/>
        </w:tabs>
        <w:spacing w:before="38" w:line="240" w:lineRule="auto"/>
      </w:pPr>
      <w:r>
        <w:t xml:space="preserve">Instructor preparation Step 4: </w:t>
      </w:r>
      <w:r>
        <w:rPr>
          <w:color w:val="0000FF"/>
        </w:rPr>
        <w:t>Familiarity with the basic similarities and differences between parasites and higher eukaryotes.</w:t>
      </w:r>
    </w:p>
    <w:p w14:paraId="560C45F1" w14:textId="77777777" w:rsidR="00FA78BC" w:rsidRDefault="00FA78BC"/>
    <w:p w14:paraId="2FE41D39" w14:textId="77777777" w:rsidR="00FA78BC" w:rsidRDefault="00E85B67">
      <w:r>
        <w:rPr>
          <w:b/>
        </w:rPr>
        <w:t>D2.b. Suggested time for instructor preparations</w:t>
      </w:r>
      <w:r>
        <w:t xml:space="preserve">: </w:t>
      </w:r>
    </w:p>
    <w:p w14:paraId="5D41D20C" w14:textId="77777777" w:rsidR="00FA78BC" w:rsidRDefault="00E85B67">
      <w:pPr>
        <w:pStyle w:val="Heading1"/>
        <w:keepNext w:val="0"/>
        <w:keepLines w:val="0"/>
        <w:widowControl w:val="0"/>
        <w:spacing w:before="38" w:after="0" w:line="240" w:lineRule="auto"/>
        <w:ind w:left="100"/>
        <w:rPr>
          <w:color w:val="0000FF"/>
          <w:sz w:val="22"/>
          <w:szCs w:val="22"/>
        </w:rPr>
      </w:pPr>
      <w:bookmarkStart w:id="3" w:name="_heading=h.z4jrrev30z6" w:colFirst="0" w:colLast="0"/>
      <w:bookmarkEnd w:id="3"/>
      <w:r>
        <w:rPr>
          <w:color w:val="0000FF"/>
          <w:sz w:val="22"/>
          <w:szCs w:val="22"/>
        </w:rPr>
        <w:t>Please see the note for B2.a</w:t>
      </w:r>
      <w:r>
        <w:rPr>
          <w:b/>
          <w:color w:val="0000FF"/>
          <w:sz w:val="22"/>
          <w:szCs w:val="22"/>
        </w:rPr>
        <w:t xml:space="preserve">.  </w:t>
      </w:r>
      <w:r>
        <w:rPr>
          <w:color w:val="0000FF"/>
          <w:sz w:val="22"/>
          <w:szCs w:val="22"/>
        </w:rPr>
        <w:t xml:space="preserve">The time will greatly depend on at what level the instructor would like to implement the case.  For the bare minimum the instructor should invest time to fully complete the case by themselves and reviewing the background materials which is expected to take a minimum of 2-4 </w:t>
      </w:r>
      <w:proofErr w:type="spellStart"/>
      <w:r>
        <w:rPr>
          <w:color w:val="0000FF"/>
          <w:sz w:val="22"/>
          <w:szCs w:val="22"/>
        </w:rPr>
        <w:t>hrs</w:t>
      </w:r>
      <w:proofErr w:type="spellEnd"/>
    </w:p>
    <w:p w14:paraId="4123F4FE" w14:textId="77777777" w:rsidR="00FA78BC" w:rsidRDefault="00FA78BC"/>
    <w:p w14:paraId="1B7A9DED" w14:textId="77777777" w:rsidR="00FA78BC" w:rsidRDefault="00E85B67">
      <w:pPr>
        <w:rPr>
          <w:highlight w:val="yellow"/>
        </w:rPr>
      </w:pPr>
      <w:r>
        <w:rPr>
          <w:b/>
        </w:rPr>
        <w:t xml:space="preserve">D3.a. Suggested Student Preparation </w:t>
      </w:r>
      <w:r>
        <w:t xml:space="preserve">- </w:t>
      </w:r>
      <w:r>
        <w:rPr>
          <w:i/>
        </w:rPr>
        <w:t xml:space="preserve">these could include providing basic experience with molecular visualization, reviewing background knowledge about the case theme and molecule(s) </w:t>
      </w:r>
    </w:p>
    <w:p w14:paraId="4A0944EB" w14:textId="423FE568" w:rsidR="00FA78BC" w:rsidRDefault="00E85B67">
      <w:pPr>
        <w:rPr>
          <w:rFonts w:ascii="Calibri" w:eastAsia="Calibri" w:hAnsi="Calibri" w:cs="Calibri"/>
          <w:sz w:val="20"/>
          <w:szCs w:val="20"/>
        </w:rPr>
      </w:pPr>
      <w:r>
        <w:rPr>
          <w:color w:val="0000FF"/>
        </w:rPr>
        <w:t xml:space="preserve">Note: In my implementation, this is the second molecular case study students do. The first is a case study on Hemoglobin (Nicholas’s Story) where some of the explorations are done using premade scenes.  Any similar small activities would be good preparations. For navigating PDB </w:t>
      </w:r>
      <w:r>
        <w:rPr>
          <w:color w:val="0000FF"/>
        </w:rPr>
        <w:lastRenderedPageBreak/>
        <w:t>using the exercise “Interrogating the PDB” is recommended</w:t>
      </w:r>
      <w:r w:rsidR="0062382D">
        <w:rPr>
          <w:color w:val="0000FF"/>
        </w:rPr>
        <w:t xml:space="preserve"> – see </w:t>
      </w:r>
      <w:hyperlink r:id="rId20" w:history="1">
        <w:r w:rsidR="0062382D" w:rsidRPr="00E93A2E">
          <w:rPr>
            <w:rStyle w:val="Hyperlink"/>
          </w:rPr>
          <w:t>https://pdb101.rcsb.org/teach/box-of-lessons/topics/biological-macromolecules</w:t>
        </w:r>
      </w:hyperlink>
      <w:r w:rsidR="0062382D">
        <w:rPr>
          <w:color w:val="0000FF"/>
        </w:rPr>
        <w:t xml:space="preserve"> </w:t>
      </w:r>
    </w:p>
    <w:p w14:paraId="60A5D192" w14:textId="77777777" w:rsidR="00FA78BC" w:rsidRDefault="00FA78BC">
      <w:pPr>
        <w:widowControl w:val="0"/>
        <w:spacing w:before="38"/>
        <w:ind w:left="100" w:right="181"/>
        <w:rPr>
          <w:color w:val="0000FF"/>
        </w:rPr>
      </w:pPr>
    </w:p>
    <w:p w14:paraId="5465C4F3" w14:textId="36E7142D" w:rsidR="00FA78BC" w:rsidRDefault="00E85B67">
      <w:pPr>
        <w:widowControl w:val="0"/>
        <w:numPr>
          <w:ilvl w:val="0"/>
          <w:numId w:val="14"/>
        </w:numPr>
        <w:spacing w:before="38"/>
        <w:ind w:right="181"/>
      </w:pPr>
      <w:r>
        <w:t>Student preparation Step 1:</w:t>
      </w:r>
      <w:r>
        <w:rPr>
          <w:color w:val="0000FF"/>
        </w:rPr>
        <w:t xml:space="preserve"> Introduction and small exercises using the databases </w:t>
      </w:r>
      <w:proofErr w:type="spellStart"/>
      <w:r>
        <w:rPr>
          <w:color w:val="0000FF"/>
        </w:rPr>
        <w:t>Uni</w:t>
      </w:r>
      <w:r w:rsidR="0062382D">
        <w:rPr>
          <w:color w:val="0000FF"/>
        </w:rPr>
        <w:t>P</w:t>
      </w:r>
      <w:r>
        <w:rPr>
          <w:color w:val="0000FF"/>
        </w:rPr>
        <w:t>rot</w:t>
      </w:r>
      <w:proofErr w:type="spellEnd"/>
      <w:r>
        <w:rPr>
          <w:color w:val="0000FF"/>
        </w:rPr>
        <w:t xml:space="preserve"> and PDB</w:t>
      </w:r>
    </w:p>
    <w:p w14:paraId="5F41823B" w14:textId="77777777" w:rsidR="00FA78BC" w:rsidRDefault="00E85B67">
      <w:pPr>
        <w:numPr>
          <w:ilvl w:val="0"/>
          <w:numId w:val="6"/>
        </w:numPr>
      </w:pPr>
      <w:r>
        <w:t xml:space="preserve">Student preparation Step 2: </w:t>
      </w:r>
      <w:r>
        <w:rPr>
          <w:color w:val="0000FF"/>
        </w:rPr>
        <w:t>Simple exercises of loading in and visualizing any PDB ID</w:t>
      </w:r>
      <w:r>
        <w:t xml:space="preserve"> </w:t>
      </w:r>
    </w:p>
    <w:p w14:paraId="6F2DF71C" w14:textId="77777777" w:rsidR="00FA78BC" w:rsidRDefault="00E85B67">
      <w:pPr>
        <w:rPr>
          <w:color w:val="0000FF"/>
        </w:rPr>
      </w:pPr>
      <w:r>
        <w:rPr>
          <w:b/>
        </w:rPr>
        <w:t>D3.b. Suggested time for student preparation</w:t>
      </w:r>
      <w:r>
        <w:t>:</w:t>
      </w:r>
      <w:r>
        <w:br/>
      </w:r>
      <w:r>
        <w:rPr>
          <w:color w:val="0000FF"/>
        </w:rPr>
        <w:t xml:space="preserve">If integrated well into the curriculum (both in terms of content and skills) students do not need any additional preparation for the case.  </w:t>
      </w:r>
    </w:p>
    <w:p w14:paraId="516DD9AB" w14:textId="77777777" w:rsidR="00FA78BC" w:rsidRDefault="00E85B67">
      <w:pPr>
        <w:pStyle w:val="Heading1"/>
        <w:keepNext w:val="0"/>
        <w:keepLines w:val="0"/>
        <w:widowControl w:val="0"/>
        <w:spacing w:before="38" w:after="0" w:line="240" w:lineRule="auto"/>
        <w:rPr>
          <w:color w:val="0000FF"/>
          <w:sz w:val="22"/>
          <w:szCs w:val="22"/>
        </w:rPr>
      </w:pPr>
      <w:r>
        <w:rPr>
          <w:color w:val="0000FF"/>
          <w:sz w:val="22"/>
          <w:szCs w:val="22"/>
        </w:rPr>
        <w:t>Note: To save class time, I assign the earlier part as the “preparatory work” to be able to focus on the 3D exploration section in class.</w:t>
      </w:r>
    </w:p>
    <w:p w14:paraId="7E444F8E" w14:textId="77777777" w:rsidR="00FA78BC" w:rsidRDefault="00FA78BC"/>
    <w:p w14:paraId="1DAD0402" w14:textId="77777777" w:rsidR="00FA78BC" w:rsidRDefault="00E85B67">
      <w:pPr>
        <w:rPr>
          <w:b/>
        </w:rPr>
      </w:pPr>
      <w:r>
        <w:rPr>
          <w:b/>
        </w:rPr>
        <w:t>D4. Suggested implementation details</w:t>
      </w:r>
    </w:p>
    <w:p w14:paraId="117F794D" w14:textId="77777777" w:rsidR="00FA78BC" w:rsidRDefault="00E85B67">
      <w:pPr>
        <w:numPr>
          <w:ilvl w:val="0"/>
          <w:numId w:val="6"/>
        </w:numPr>
      </w:pPr>
      <w:r>
        <w:t xml:space="preserve">Resources </w:t>
      </w:r>
    </w:p>
    <w:p w14:paraId="625D37C4" w14:textId="77777777" w:rsidR="00FA78BC" w:rsidRDefault="00E85B67">
      <w:pPr>
        <w:widowControl w:val="0"/>
        <w:tabs>
          <w:tab w:val="left" w:pos="819"/>
          <w:tab w:val="left" w:pos="820"/>
        </w:tabs>
        <w:spacing w:before="37" w:line="240" w:lineRule="auto"/>
      </w:pPr>
      <w:r>
        <w:rPr>
          <w:color w:val="0000FF"/>
        </w:rPr>
        <w:t>All required links are included in the case and a few additional resources about the background are included in the instructor version of the case</w:t>
      </w:r>
    </w:p>
    <w:p w14:paraId="2D314E45" w14:textId="77777777" w:rsidR="00FA78BC" w:rsidRDefault="00E85B67">
      <w:pPr>
        <w:numPr>
          <w:ilvl w:val="0"/>
          <w:numId w:val="6"/>
        </w:numPr>
      </w:pPr>
      <w:r>
        <w:t>Implementation timeline suggestions</w:t>
      </w:r>
    </w:p>
    <w:p w14:paraId="57946E67" w14:textId="77777777" w:rsidR="00FA78BC" w:rsidRDefault="00E85B67">
      <w:pPr>
        <w:numPr>
          <w:ilvl w:val="1"/>
          <w:numId w:val="6"/>
        </w:numPr>
        <w:ind w:left="1080"/>
      </w:pPr>
      <w:r>
        <w:t xml:space="preserve">Time required for students to read/view the case related material prior to start of the molecular case study: </w:t>
      </w:r>
      <w:r>
        <w:rPr>
          <w:color w:val="0000FF"/>
        </w:rPr>
        <w:t xml:space="preserve">I assign the part until the end of Q13 as pre-class work where the students can enter many of the answers to the questions via an online platform (I use </w:t>
      </w:r>
      <w:proofErr w:type="spellStart"/>
      <w:r>
        <w:rPr>
          <w:color w:val="0000FF"/>
        </w:rPr>
        <w:t>TopHat</w:t>
      </w:r>
      <w:proofErr w:type="spellEnd"/>
      <w:r w:rsidR="00DF10EC">
        <w:rPr>
          <w:color w:val="0000FF"/>
        </w:rPr>
        <w:t xml:space="preserve"> </w:t>
      </w:r>
      <w:r>
        <w:rPr>
          <w:color w:val="0000FF"/>
        </w:rPr>
        <w:t>but can also be done in any LMS).  The students are expected to complete this pre-work in ~ 1 hr.</w:t>
      </w:r>
    </w:p>
    <w:p w14:paraId="745C4E3D" w14:textId="77777777" w:rsidR="00FA78BC" w:rsidRDefault="00E85B67">
      <w:pPr>
        <w:numPr>
          <w:ilvl w:val="1"/>
          <w:numId w:val="6"/>
        </w:numPr>
        <w:ind w:left="1080"/>
      </w:pPr>
      <w:r>
        <w:t xml:space="preserve">Minimum in-class time required: </w:t>
      </w:r>
    </w:p>
    <w:p w14:paraId="14327EC9" w14:textId="77777777" w:rsidR="00FA78BC" w:rsidRDefault="00E85B67">
      <w:pPr>
        <w:widowControl w:val="0"/>
        <w:spacing w:line="240" w:lineRule="auto"/>
        <w:ind w:left="1080"/>
        <w:rPr>
          <w:color w:val="0000FF"/>
        </w:rPr>
      </w:pPr>
      <w:r>
        <w:rPr>
          <w:color w:val="0000FF"/>
        </w:rPr>
        <w:t xml:space="preserve">The ideal time to complete the rest of the case (without the assessment) would be 1.5- 2 </w:t>
      </w:r>
      <w:proofErr w:type="spellStart"/>
      <w:r>
        <w:rPr>
          <w:color w:val="0000FF"/>
        </w:rPr>
        <w:t>hrs</w:t>
      </w:r>
      <w:proofErr w:type="spellEnd"/>
      <w:r>
        <w:rPr>
          <w:color w:val="0000FF"/>
        </w:rPr>
        <w:t>:</w:t>
      </w:r>
    </w:p>
    <w:p w14:paraId="7036ABF9" w14:textId="77777777" w:rsidR="00FA78BC" w:rsidRDefault="00E85B67">
      <w:pPr>
        <w:widowControl w:val="0"/>
        <w:spacing w:line="240" w:lineRule="auto"/>
        <w:ind w:left="1080"/>
        <w:rPr>
          <w:color w:val="0000FF"/>
        </w:rPr>
      </w:pPr>
      <w:r>
        <w:rPr>
          <w:color w:val="0000FF"/>
        </w:rPr>
        <w:t>1</w:t>
      </w:r>
      <w:r>
        <w:rPr>
          <w:color w:val="0000FF"/>
          <w:vertAlign w:val="superscript"/>
        </w:rPr>
        <w:t>st</w:t>
      </w:r>
      <w:r>
        <w:rPr>
          <w:color w:val="0000FF"/>
        </w:rPr>
        <w:t xml:space="preserve"> hour:  Explore the higher structure LDH, the individual subunit, and the active site within the subunit with its cofactor NADH.  (Q14-Q20) </w:t>
      </w:r>
    </w:p>
    <w:p w14:paraId="7C70702E" w14:textId="77777777" w:rsidR="00FA78BC" w:rsidRDefault="00E85B67">
      <w:pPr>
        <w:widowControl w:val="0"/>
        <w:spacing w:line="240" w:lineRule="auto"/>
        <w:ind w:left="1080"/>
        <w:rPr>
          <w:color w:val="0000FF"/>
        </w:rPr>
      </w:pPr>
      <w:r>
        <w:rPr>
          <w:color w:val="0000FF"/>
        </w:rPr>
        <w:t>2</w:t>
      </w:r>
      <w:r>
        <w:rPr>
          <w:color w:val="0000FF"/>
          <w:vertAlign w:val="superscript"/>
        </w:rPr>
        <w:t>nd</w:t>
      </w:r>
      <w:r>
        <w:rPr>
          <w:color w:val="0000FF"/>
        </w:rPr>
        <w:t xml:space="preserve"> hour: Complete the “Connecting Structure to Function” section Q21-Q30.</w:t>
      </w:r>
    </w:p>
    <w:p w14:paraId="008C9751" w14:textId="77777777" w:rsidR="00FA78BC" w:rsidRDefault="00FA78BC">
      <w:pPr>
        <w:widowControl w:val="0"/>
        <w:spacing w:line="240" w:lineRule="auto"/>
        <w:ind w:left="1080"/>
        <w:rPr>
          <w:color w:val="0000FF"/>
        </w:rPr>
      </w:pPr>
    </w:p>
    <w:p w14:paraId="2C95A29E" w14:textId="77777777" w:rsidR="00A8650F" w:rsidRDefault="00A8650F">
      <w:pPr>
        <w:widowControl w:val="0"/>
        <w:spacing w:line="240" w:lineRule="auto"/>
        <w:ind w:left="1080"/>
        <w:rPr>
          <w:color w:val="0000FF"/>
        </w:rPr>
      </w:pPr>
      <w:r>
        <w:rPr>
          <w:color w:val="0000FF"/>
        </w:rPr>
        <w:t>Author comments:</w:t>
      </w:r>
    </w:p>
    <w:p w14:paraId="52878171" w14:textId="77777777" w:rsidR="0062382D" w:rsidRDefault="00A8650F">
      <w:pPr>
        <w:widowControl w:val="0"/>
        <w:spacing w:line="240" w:lineRule="auto"/>
        <w:ind w:left="1080"/>
        <w:rPr>
          <w:color w:val="0000FF"/>
        </w:rPr>
      </w:pPr>
      <w:r>
        <w:rPr>
          <w:color w:val="0000FF"/>
        </w:rPr>
        <w:t>“</w:t>
      </w:r>
      <w:r w:rsidR="00E85B67">
        <w:rPr>
          <w:color w:val="0000FF"/>
        </w:rPr>
        <w:t xml:space="preserve">However, since I have my students complete Nicholas's Story (a MCS on Hb) earlier in the semester during a 1.5 </w:t>
      </w:r>
      <w:proofErr w:type="spellStart"/>
      <w:r w:rsidR="00E85B67">
        <w:rPr>
          <w:color w:val="0000FF"/>
        </w:rPr>
        <w:t>hr</w:t>
      </w:r>
      <w:proofErr w:type="spellEnd"/>
      <w:r w:rsidR="00E85B67">
        <w:rPr>
          <w:color w:val="0000FF"/>
        </w:rPr>
        <w:t xml:space="preserve"> session, I use a 50 min discussion time slot to complete as much of this case in class and assign the rest of it as post-class work. </w:t>
      </w:r>
    </w:p>
    <w:p w14:paraId="75943608" w14:textId="77777777" w:rsidR="0062382D" w:rsidRDefault="0062382D">
      <w:pPr>
        <w:widowControl w:val="0"/>
        <w:spacing w:line="240" w:lineRule="auto"/>
        <w:ind w:left="1080"/>
        <w:rPr>
          <w:color w:val="0000FF"/>
        </w:rPr>
      </w:pPr>
    </w:p>
    <w:p w14:paraId="038C56FA" w14:textId="337DA0F2" w:rsidR="00FA78BC" w:rsidRDefault="00E85B67">
      <w:pPr>
        <w:widowControl w:val="0"/>
        <w:spacing w:line="240" w:lineRule="auto"/>
        <w:ind w:left="1080"/>
        <w:rPr>
          <w:color w:val="0000FF"/>
        </w:rPr>
      </w:pPr>
      <w:r>
        <w:rPr>
          <w:color w:val="0000FF"/>
        </w:rPr>
        <w:t>Field implementation in S23 showed that most students were able to get to “Connecting Structure to Function” section in the 50 min period.  Whether or not they were able to start the next section was highly dependent on how much of the last part of the pre-work (Q11-13) they had completed before coming in as those questions required them to remember and practice some of the most common commands in Mol* that they had first learned during the Hb MCS.</w:t>
      </w:r>
    </w:p>
    <w:p w14:paraId="127AEBC0" w14:textId="77777777" w:rsidR="0062382D" w:rsidRDefault="0062382D">
      <w:pPr>
        <w:widowControl w:val="0"/>
        <w:spacing w:line="240" w:lineRule="auto"/>
        <w:ind w:left="1080"/>
        <w:rPr>
          <w:color w:val="0000FF"/>
        </w:rPr>
      </w:pPr>
    </w:p>
    <w:p w14:paraId="39F1700D" w14:textId="10B2D35C" w:rsidR="00FA78BC" w:rsidRDefault="00E85B67">
      <w:pPr>
        <w:widowControl w:val="0"/>
        <w:spacing w:line="240" w:lineRule="auto"/>
        <w:ind w:left="1080"/>
        <w:rPr>
          <w:color w:val="0000FF"/>
        </w:rPr>
      </w:pPr>
      <w:r>
        <w:rPr>
          <w:color w:val="0000FF"/>
        </w:rPr>
        <w:t xml:space="preserve">To help students progress as far as they could without losing on content or skills, I have students work through the in-class part in pairs, one student carrying out the instructions using the parasite LDH PDB structure and the other the human LDH structure.  To ensure that both students are actively participating in the exploration </w:t>
      </w:r>
      <w:r>
        <w:rPr>
          <w:color w:val="0000FF"/>
        </w:rPr>
        <w:lastRenderedPageBreak/>
        <w:t xml:space="preserve">and answering the questions, one student puts a copy of the MCS in their google folder and shares it with their partner. Then both students place their figures for the structure they are exploring on this shared google doc side by side and answer the questions that require comparison of the findings together. This approach significantly shortens the in-class time needed for implementation of the case.  </w:t>
      </w:r>
    </w:p>
    <w:p w14:paraId="7E647FE4" w14:textId="77777777" w:rsidR="00FA78BC" w:rsidRDefault="00E85B67">
      <w:pPr>
        <w:widowControl w:val="0"/>
        <w:spacing w:line="240" w:lineRule="auto"/>
        <w:ind w:left="1080"/>
        <w:rPr>
          <w:color w:val="0000FF"/>
        </w:rPr>
      </w:pPr>
      <w:r>
        <w:rPr>
          <w:color w:val="0000FF"/>
        </w:rPr>
        <w:t>Having teaching assistants and former undergraduate students of this course who have done the case previously come in to help during implementation by being facilitators to a few groups at a time, also helps a lot in ensuring that students don’t get stuck too long in certain areas due to lack of experience with the tools (esp. Mol*)</w:t>
      </w:r>
      <w:r w:rsidR="00A8650F">
        <w:rPr>
          <w:color w:val="0000FF"/>
        </w:rPr>
        <w:t>”</w:t>
      </w:r>
    </w:p>
    <w:p w14:paraId="708B5C30" w14:textId="77777777" w:rsidR="00FA78BC" w:rsidRDefault="00FA78BC">
      <w:pPr>
        <w:ind w:left="1440"/>
      </w:pPr>
    </w:p>
    <w:p w14:paraId="2D5CA223" w14:textId="77777777" w:rsidR="00FA78BC" w:rsidRDefault="00E85B67">
      <w:pPr>
        <w:numPr>
          <w:ilvl w:val="1"/>
          <w:numId w:val="6"/>
        </w:numPr>
      </w:pPr>
      <w:r>
        <w:t xml:space="preserve">Time outside class needed to complete the case: </w:t>
      </w:r>
    </w:p>
    <w:p w14:paraId="55C4E690" w14:textId="77777777" w:rsidR="00FA78BC" w:rsidRDefault="00E85B67">
      <w:pPr>
        <w:widowControl w:val="0"/>
        <w:tabs>
          <w:tab w:val="left" w:pos="1539"/>
          <w:tab w:val="left" w:pos="1540"/>
        </w:tabs>
        <w:spacing w:before="36" w:line="240" w:lineRule="auto"/>
        <w:ind w:left="1440"/>
      </w:pPr>
      <w:r>
        <w:rPr>
          <w:color w:val="0000FF"/>
        </w:rPr>
        <w:t xml:space="preserve">See above.  I assign the first part as a flipped activity prior to in-class time with an expectation that students will spend ~ 1-1.5 </w:t>
      </w:r>
      <w:proofErr w:type="spellStart"/>
      <w:r>
        <w:rPr>
          <w:color w:val="0000FF"/>
        </w:rPr>
        <w:t>hrs</w:t>
      </w:r>
      <w:proofErr w:type="spellEnd"/>
      <w:r>
        <w:rPr>
          <w:color w:val="0000FF"/>
        </w:rPr>
        <w:t xml:space="preserve"> to complete it.</w:t>
      </w:r>
    </w:p>
    <w:p w14:paraId="7DCE17F2" w14:textId="77777777" w:rsidR="00FA78BC" w:rsidRDefault="00E85B67">
      <w:pPr>
        <w:numPr>
          <w:ilvl w:val="0"/>
          <w:numId w:val="6"/>
        </w:numPr>
      </w:pPr>
      <w:r>
        <w:t>If the case study needs to be implemented in multiple sessions, suggest in-class activities for each session</w:t>
      </w:r>
    </w:p>
    <w:p w14:paraId="6679A5DC" w14:textId="77777777" w:rsidR="00FA78BC" w:rsidRDefault="00E85B67">
      <w:pPr>
        <w:widowControl w:val="0"/>
        <w:numPr>
          <w:ilvl w:val="1"/>
          <w:numId w:val="6"/>
        </w:numPr>
        <w:spacing w:line="240" w:lineRule="auto"/>
        <w:jc w:val="both"/>
        <w:rPr>
          <w:highlight w:val="white"/>
        </w:rPr>
      </w:pPr>
      <w:r>
        <w:t xml:space="preserve">Session 1: </w:t>
      </w:r>
      <w:r>
        <w:rPr>
          <w:color w:val="0000FF"/>
        </w:rPr>
        <w:t xml:space="preserve">Case context, </w:t>
      </w:r>
      <w:proofErr w:type="gramStart"/>
      <w:r>
        <w:rPr>
          <w:color w:val="0000FF"/>
        </w:rPr>
        <w:t>Getting</w:t>
      </w:r>
      <w:proofErr w:type="gramEnd"/>
      <w:r>
        <w:rPr>
          <w:color w:val="0000FF"/>
        </w:rPr>
        <w:t xml:space="preserve"> to the Structure, and Exploring the structure (</w:t>
      </w:r>
      <w:r>
        <w:rPr>
          <w:color w:val="0000FF"/>
          <w:highlight w:val="white"/>
        </w:rPr>
        <w:t xml:space="preserve">Exploring the primary Structure of </w:t>
      </w:r>
      <w:r>
        <w:rPr>
          <w:i/>
          <w:color w:val="0000FF"/>
        </w:rPr>
        <w:t xml:space="preserve">Plasmodium falciparum </w:t>
      </w:r>
      <w:r>
        <w:rPr>
          <w:color w:val="0000FF"/>
        </w:rPr>
        <w:t>LDH (</w:t>
      </w:r>
      <w:proofErr w:type="spellStart"/>
      <w:r>
        <w:rPr>
          <w:i/>
          <w:color w:val="0000FF"/>
        </w:rPr>
        <w:t>pf</w:t>
      </w:r>
      <w:r>
        <w:rPr>
          <w:color w:val="0000FF"/>
        </w:rPr>
        <w:t>LDH</w:t>
      </w:r>
      <w:proofErr w:type="spellEnd"/>
      <w:r>
        <w:rPr>
          <w:color w:val="0000FF"/>
        </w:rPr>
        <w:t xml:space="preserve">) and </w:t>
      </w:r>
      <w:r>
        <w:rPr>
          <w:i/>
          <w:color w:val="0000FF"/>
        </w:rPr>
        <w:t>human</w:t>
      </w:r>
      <w:r>
        <w:rPr>
          <w:color w:val="0000FF"/>
        </w:rPr>
        <w:t xml:space="preserve"> </w:t>
      </w:r>
      <w:r>
        <w:rPr>
          <w:color w:val="0000FF"/>
          <w:highlight w:val="white"/>
        </w:rPr>
        <w:t>LDH (</w:t>
      </w:r>
      <w:proofErr w:type="spellStart"/>
      <w:r>
        <w:rPr>
          <w:i/>
          <w:color w:val="0000FF"/>
          <w:highlight w:val="white"/>
        </w:rPr>
        <w:t>h</w:t>
      </w:r>
      <w:r>
        <w:rPr>
          <w:color w:val="0000FF"/>
          <w:highlight w:val="white"/>
        </w:rPr>
        <w:t>LDH</w:t>
      </w:r>
      <w:proofErr w:type="spellEnd"/>
      <w:r>
        <w:rPr>
          <w:color w:val="0000FF"/>
          <w:highlight w:val="white"/>
        </w:rPr>
        <w:t>) section) This part can be assigned as flipped.</w:t>
      </w:r>
    </w:p>
    <w:p w14:paraId="63DCC801" w14:textId="77777777" w:rsidR="00FA78BC" w:rsidRDefault="00E85B67">
      <w:pPr>
        <w:widowControl w:val="0"/>
        <w:numPr>
          <w:ilvl w:val="1"/>
          <w:numId w:val="7"/>
        </w:numPr>
        <w:tabs>
          <w:tab w:val="left" w:pos="1539"/>
          <w:tab w:val="left" w:pos="1540"/>
        </w:tabs>
        <w:spacing w:before="38" w:line="240" w:lineRule="auto"/>
      </w:pPr>
      <w:r>
        <w:t xml:space="preserve">Session 2: </w:t>
      </w:r>
      <w:r>
        <w:rPr>
          <w:color w:val="0000FF"/>
        </w:rPr>
        <w:t xml:space="preserve">Exploring the Structure (starting from exploring the higher order structure of LDH using </w:t>
      </w:r>
      <w:r>
        <w:rPr>
          <w:color w:val="0000FF"/>
          <w:highlight w:val="white"/>
        </w:rPr>
        <w:t>PDB and Mol*</w:t>
      </w:r>
      <w:r>
        <w:rPr>
          <w:color w:val="0000FF"/>
        </w:rPr>
        <w:t xml:space="preserve"> section),</w:t>
      </w:r>
      <w:r>
        <w:rPr>
          <w:rFonts w:ascii="Times New Roman" w:eastAsia="Times New Roman" w:hAnsi="Times New Roman" w:cs="Times New Roman"/>
          <w:b/>
          <w:i/>
          <w:color w:val="0000FF"/>
          <w:sz w:val="28"/>
          <w:szCs w:val="28"/>
        </w:rPr>
        <w:t xml:space="preserve"> </w:t>
      </w:r>
    </w:p>
    <w:p w14:paraId="27F1BB76" w14:textId="77777777" w:rsidR="00FA78BC" w:rsidRDefault="00E85B67">
      <w:pPr>
        <w:widowControl w:val="0"/>
        <w:numPr>
          <w:ilvl w:val="1"/>
          <w:numId w:val="7"/>
        </w:numPr>
        <w:tabs>
          <w:tab w:val="left" w:pos="1539"/>
          <w:tab w:val="left" w:pos="1540"/>
        </w:tabs>
        <w:spacing w:before="38" w:line="240" w:lineRule="auto"/>
        <w:rPr>
          <w:color w:val="0000FF"/>
        </w:rPr>
      </w:pPr>
      <w:r>
        <w:t xml:space="preserve">Session 3: </w:t>
      </w:r>
      <w:r>
        <w:rPr>
          <w:color w:val="0000FF"/>
        </w:rPr>
        <w:t>Connecting Structure to Function section</w:t>
      </w:r>
    </w:p>
    <w:p w14:paraId="7FB16352" w14:textId="77777777" w:rsidR="00FA78BC" w:rsidRPr="00C23266" w:rsidRDefault="00E85B67">
      <w:pPr>
        <w:widowControl w:val="0"/>
        <w:numPr>
          <w:ilvl w:val="0"/>
          <w:numId w:val="7"/>
        </w:numPr>
        <w:tabs>
          <w:tab w:val="left" w:pos="819"/>
          <w:tab w:val="left" w:pos="820"/>
        </w:tabs>
        <w:spacing w:before="38"/>
        <w:ind w:right="941"/>
      </w:pPr>
      <w:r w:rsidRPr="00C23266">
        <w:t xml:space="preserve">(Expected/ observed) Bottlenecks and Suggestions: </w:t>
      </w:r>
    </w:p>
    <w:p w14:paraId="533C4F9A" w14:textId="77777777" w:rsidR="00FA78BC" w:rsidRDefault="00E85B67">
      <w:pPr>
        <w:widowControl w:val="0"/>
        <w:numPr>
          <w:ilvl w:val="1"/>
          <w:numId w:val="7"/>
        </w:numPr>
        <w:tabs>
          <w:tab w:val="left" w:pos="1440"/>
        </w:tabs>
        <w:spacing w:before="38" w:line="240" w:lineRule="auto"/>
        <w:rPr>
          <w:b/>
          <w:color w:val="0000FF"/>
        </w:rPr>
      </w:pPr>
      <w:r>
        <w:rPr>
          <w:color w:val="0000FF"/>
        </w:rPr>
        <w:t>Students need time to get used to some functions requiring the selection mode “on” and some “off”</w:t>
      </w:r>
      <w:r w:rsidR="00A8650F">
        <w:rPr>
          <w:color w:val="0000FF"/>
        </w:rPr>
        <w:t>.</w:t>
      </w:r>
      <w:r>
        <w:rPr>
          <w:color w:val="0000FF"/>
        </w:rPr>
        <w:t xml:space="preserve"> This confusion is a significant time sink when students are asked to change representation or color a single component and then asked to create a focus area around it. </w:t>
      </w:r>
    </w:p>
    <w:p w14:paraId="4BC6A8E0" w14:textId="77777777" w:rsidR="00FA78BC" w:rsidRDefault="00E85B67">
      <w:pPr>
        <w:widowControl w:val="0"/>
        <w:numPr>
          <w:ilvl w:val="1"/>
          <w:numId w:val="7"/>
        </w:numPr>
        <w:tabs>
          <w:tab w:val="left" w:pos="1440"/>
        </w:tabs>
        <w:spacing w:before="38" w:line="240" w:lineRule="auto"/>
        <w:rPr>
          <w:b/>
          <w:color w:val="0000FF"/>
        </w:rPr>
      </w:pPr>
      <w:r>
        <w:rPr>
          <w:color w:val="0000FF"/>
        </w:rPr>
        <w:t>If you are considering assigning the last section “Connecting Structure to function”, I recommend that you have students do a “measurement” exercise once they visualize NADH in the active site.  How to make a measurement is described for measuring distances between the inhibitor and the enzyme in steps 23-25.</w:t>
      </w:r>
    </w:p>
    <w:p w14:paraId="1F4982BA" w14:textId="77777777" w:rsidR="00FA78BC" w:rsidRDefault="00E85B67">
      <w:pPr>
        <w:rPr>
          <w:i/>
        </w:rPr>
      </w:pPr>
      <w:r>
        <w:rPr>
          <w:b/>
        </w:rPr>
        <w:t xml:space="preserve">D5. Provide suggestions for how this case study may be used in other courses/settings: </w:t>
      </w:r>
      <w:r>
        <w:rPr>
          <w:i/>
        </w:rPr>
        <w:t>list if any of the sections of the case study need to be modified for a different course setting</w:t>
      </w:r>
    </w:p>
    <w:p w14:paraId="6228DBE1" w14:textId="77777777" w:rsidR="00FA78BC" w:rsidRDefault="00E85B67">
      <w:pPr>
        <w:widowControl w:val="0"/>
        <w:numPr>
          <w:ilvl w:val="0"/>
          <w:numId w:val="10"/>
        </w:numPr>
        <w:tabs>
          <w:tab w:val="left" w:pos="819"/>
          <w:tab w:val="left" w:pos="820"/>
        </w:tabs>
        <w:spacing w:line="240" w:lineRule="auto"/>
      </w:pPr>
      <w:r>
        <w:t xml:space="preserve">Other course/settings 1: </w:t>
      </w:r>
      <w:r>
        <w:rPr>
          <w:color w:val="0000FF"/>
        </w:rPr>
        <w:t>This case has been used in a parasitology course by Dr. Swati Agrawal.</w:t>
      </w:r>
    </w:p>
    <w:p w14:paraId="54883D6C" w14:textId="77777777" w:rsidR="00FA78BC" w:rsidRDefault="00E85B67">
      <w:pPr>
        <w:widowControl w:val="0"/>
        <w:numPr>
          <w:ilvl w:val="0"/>
          <w:numId w:val="10"/>
        </w:numPr>
        <w:tabs>
          <w:tab w:val="left" w:pos="819"/>
          <w:tab w:val="left" w:pos="820"/>
        </w:tabs>
        <w:spacing w:before="38" w:line="240" w:lineRule="auto"/>
        <w:ind w:left="360" w:hanging="180"/>
      </w:pPr>
      <w:r>
        <w:t xml:space="preserve">Suggested changes: </w:t>
      </w:r>
      <w:r>
        <w:rPr>
          <w:color w:val="0000FF"/>
        </w:rPr>
        <w:t>More emphasis was given to the background on the parasite life cycle and the implications of inhibition of this enzyme in the survival of the parasite as well as understanding malaria.</w:t>
      </w:r>
    </w:p>
    <w:p w14:paraId="09A94DA7" w14:textId="77777777" w:rsidR="00FA78BC" w:rsidRDefault="00FA78BC">
      <w:pPr>
        <w:widowControl w:val="0"/>
        <w:tabs>
          <w:tab w:val="left" w:pos="819"/>
          <w:tab w:val="left" w:pos="820"/>
        </w:tabs>
        <w:spacing w:before="38" w:line="240" w:lineRule="auto"/>
      </w:pPr>
    </w:p>
    <w:sectPr w:rsidR="00FA78BC">
      <w:head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AF9F0" w14:textId="77777777" w:rsidR="00B76824" w:rsidRDefault="00B76824">
      <w:pPr>
        <w:spacing w:line="240" w:lineRule="auto"/>
      </w:pPr>
      <w:r>
        <w:separator/>
      </w:r>
    </w:p>
  </w:endnote>
  <w:endnote w:type="continuationSeparator" w:id="0">
    <w:p w14:paraId="33BF5BCB" w14:textId="77777777" w:rsidR="00B76824" w:rsidRDefault="00B768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3E672" w14:textId="77777777" w:rsidR="00B76824" w:rsidRDefault="00B76824">
      <w:pPr>
        <w:spacing w:line="240" w:lineRule="auto"/>
      </w:pPr>
      <w:r>
        <w:separator/>
      </w:r>
    </w:p>
  </w:footnote>
  <w:footnote w:type="continuationSeparator" w:id="0">
    <w:p w14:paraId="7C4A3EF0" w14:textId="77777777" w:rsidR="00B76824" w:rsidRDefault="00B768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468CB" w14:textId="77777777" w:rsidR="00FA78BC" w:rsidRDefault="00E85B67">
    <w:pPr>
      <w:jc w:val="right"/>
    </w:pPr>
    <w:r>
      <w:rPr>
        <w:noProof/>
      </w:rPr>
      <w:drawing>
        <wp:inline distT="0" distB="0" distL="0" distR="0" wp14:anchorId="3C2361D1" wp14:editId="346C63AC">
          <wp:extent cx="1157288" cy="547724"/>
          <wp:effectExtent l="0" t="0" r="0" b="0"/>
          <wp:docPr id="3" name="image1.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with medium confidence"/>
                  <pic:cNvPicPr preferRelativeResize="0"/>
                </pic:nvPicPr>
                <pic:blipFill>
                  <a:blip r:embed="rId1"/>
                  <a:srcRect/>
                  <a:stretch>
                    <a:fillRect/>
                  </a:stretch>
                </pic:blipFill>
                <pic:spPr>
                  <a:xfrm>
                    <a:off x="0" y="0"/>
                    <a:ext cx="1157288" cy="547724"/>
                  </a:xfrm>
                  <a:prstGeom prst="rect">
                    <a:avLst/>
                  </a:prstGeom>
                  <a:ln/>
                </pic:spPr>
              </pic:pic>
            </a:graphicData>
          </a:graphic>
        </wp:inline>
      </w:drawing>
    </w:r>
  </w:p>
  <w:p w14:paraId="1AF5202B" w14:textId="77777777" w:rsidR="00FA78BC" w:rsidRDefault="00E85B67">
    <w:pPr>
      <w:jc w:val="right"/>
    </w:pPr>
    <w:r>
      <w:rPr>
        <w:rFonts w:ascii="Calibri" w:eastAsia="Calibri" w:hAnsi="Calibri" w:cs="Calibri"/>
        <w:sz w:val="20"/>
        <w:szCs w:val="20"/>
      </w:rPr>
      <w:t>Version: May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3C76"/>
    <w:multiLevelType w:val="multilevel"/>
    <w:tmpl w:val="7EA618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3C71BA0"/>
    <w:multiLevelType w:val="multilevel"/>
    <w:tmpl w:val="EC60B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22453F"/>
    <w:multiLevelType w:val="multilevel"/>
    <w:tmpl w:val="AC1C543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8E570C"/>
    <w:multiLevelType w:val="multilevel"/>
    <w:tmpl w:val="7F86D7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2B12A4F"/>
    <w:multiLevelType w:val="multilevel"/>
    <w:tmpl w:val="CD4EDC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CB30716"/>
    <w:multiLevelType w:val="multilevel"/>
    <w:tmpl w:val="EED28E44"/>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6" w15:restartNumberingAfterBreak="0">
    <w:nsid w:val="321D4EF9"/>
    <w:multiLevelType w:val="multilevel"/>
    <w:tmpl w:val="BC6AD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E20E9C"/>
    <w:multiLevelType w:val="multilevel"/>
    <w:tmpl w:val="779CFB0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15B05BE"/>
    <w:multiLevelType w:val="multilevel"/>
    <w:tmpl w:val="F33E4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526E04"/>
    <w:multiLevelType w:val="multilevel"/>
    <w:tmpl w:val="D58010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50004FD7"/>
    <w:multiLevelType w:val="multilevel"/>
    <w:tmpl w:val="4D5A09D6"/>
    <w:lvl w:ilvl="0">
      <w:start w:val="6"/>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1B97CED"/>
    <w:multiLevelType w:val="multilevel"/>
    <w:tmpl w:val="DD76A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8EF0547"/>
    <w:multiLevelType w:val="multilevel"/>
    <w:tmpl w:val="32F41C5A"/>
    <w:lvl w:ilvl="0">
      <w:numFmt w:val="bullet"/>
      <w:lvlText w:val="●"/>
      <w:lvlJc w:val="left"/>
      <w:pPr>
        <w:ind w:left="820" w:hanging="360"/>
      </w:pPr>
      <w:rPr>
        <w:rFonts w:ascii="Arial" w:eastAsia="Arial" w:hAnsi="Arial" w:cs="Arial"/>
        <w:b w:val="0"/>
        <w:i w:val="0"/>
        <w:color w:val="000000"/>
        <w:sz w:val="22"/>
        <w:szCs w:val="22"/>
      </w:rPr>
    </w:lvl>
    <w:lvl w:ilvl="1">
      <w:numFmt w:val="bullet"/>
      <w:lvlText w:val="○"/>
      <w:lvlJc w:val="left"/>
      <w:pPr>
        <w:ind w:left="1540" w:hanging="360"/>
      </w:pPr>
      <w:rPr>
        <w:rFonts w:ascii="Arial" w:eastAsia="Arial" w:hAnsi="Arial" w:cs="Arial"/>
        <w:b w:val="0"/>
        <w:i w:val="0"/>
        <w:sz w:val="22"/>
        <w:szCs w:val="22"/>
      </w:rPr>
    </w:lvl>
    <w:lvl w:ilvl="2">
      <w:numFmt w:val="bullet"/>
      <w:lvlText w:val="•"/>
      <w:lvlJc w:val="left"/>
      <w:pPr>
        <w:ind w:left="2431" w:hanging="360"/>
      </w:pPr>
    </w:lvl>
    <w:lvl w:ilvl="3">
      <w:numFmt w:val="bullet"/>
      <w:lvlText w:val="•"/>
      <w:lvlJc w:val="left"/>
      <w:pPr>
        <w:ind w:left="3322" w:hanging="360"/>
      </w:pPr>
    </w:lvl>
    <w:lvl w:ilvl="4">
      <w:numFmt w:val="bullet"/>
      <w:lvlText w:val="•"/>
      <w:lvlJc w:val="left"/>
      <w:pPr>
        <w:ind w:left="4213" w:hanging="360"/>
      </w:pPr>
    </w:lvl>
    <w:lvl w:ilvl="5">
      <w:numFmt w:val="bullet"/>
      <w:lvlText w:val="•"/>
      <w:lvlJc w:val="left"/>
      <w:pPr>
        <w:ind w:left="5104" w:hanging="360"/>
      </w:pPr>
    </w:lvl>
    <w:lvl w:ilvl="6">
      <w:numFmt w:val="bullet"/>
      <w:lvlText w:val="•"/>
      <w:lvlJc w:val="left"/>
      <w:pPr>
        <w:ind w:left="5995" w:hanging="360"/>
      </w:pPr>
    </w:lvl>
    <w:lvl w:ilvl="7">
      <w:numFmt w:val="bullet"/>
      <w:lvlText w:val="•"/>
      <w:lvlJc w:val="left"/>
      <w:pPr>
        <w:ind w:left="6886" w:hanging="360"/>
      </w:pPr>
    </w:lvl>
    <w:lvl w:ilvl="8">
      <w:numFmt w:val="bullet"/>
      <w:lvlText w:val="•"/>
      <w:lvlJc w:val="left"/>
      <w:pPr>
        <w:ind w:left="7777" w:hanging="360"/>
      </w:pPr>
    </w:lvl>
  </w:abstractNum>
  <w:abstractNum w:abstractNumId="13" w15:restartNumberingAfterBreak="0">
    <w:nsid w:val="592E769B"/>
    <w:multiLevelType w:val="multilevel"/>
    <w:tmpl w:val="B24EF166"/>
    <w:lvl w:ilvl="0">
      <w:numFmt w:val="bullet"/>
      <w:lvlText w:val="●"/>
      <w:lvlJc w:val="left"/>
      <w:pPr>
        <w:ind w:left="820" w:hanging="360"/>
      </w:pPr>
      <w:rPr>
        <w:rFonts w:ascii="Arial" w:eastAsia="Arial" w:hAnsi="Arial" w:cs="Arial"/>
        <w:b w:val="0"/>
        <w:i w:val="0"/>
        <w:color w:val="000000"/>
        <w:sz w:val="22"/>
        <w:szCs w:val="22"/>
      </w:rPr>
    </w:lvl>
    <w:lvl w:ilvl="1">
      <w:numFmt w:val="bullet"/>
      <w:lvlText w:val="○"/>
      <w:lvlJc w:val="left"/>
      <w:pPr>
        <w:ind w:left="1540" w:hanging="360"/>
      </w:pPr>
      <w:rPr>
        <w:rFonts w:ascii="Arial" w:eastAsia="Arial" w:hAnsi="Arial" w:cs="Arial"/>
        <w:b w:val="0"/>
        <w:i w:val="0"/>
        <w:sz w:val="22"/>
        <w:szCs w:val="22"/>
      </w:rPr>
    </w:lvl>
    <w:lvl w:ilvl="2">
      <w:numFmt w:val="bullet"/>
      <w:lvlText w:val="•"/>
      <w:lvlJc w:val="left"/>
      <w:pPr>
        <w:ind w:left="2431" w:hanging="360"/>
      </w:pPr>
    </w:lvl>
    <w:lvl w:ilvl="3">
      <w:numFmt w:val="bullet"/>
      <w:lvlText w:val="•"/>
      <w:lvlJc w:val="left"/>
      <w:pPr>
        <w:ind w:left="3322" w:hanging="360"/>
      </w:pPr>
    </w:lvl>
    <w:lvl w:ilvl="4">
      <w:numFmt w:val="bullet"/>
      <w:lvlText w:val="•"/>
      <w:lvlJc w:val="left"/>
      <w:pPr>
        <w:ind w:left="4213" w:hanging="360"/>
      </w:pPr>
    </w:lvl>
    <w:lvl w:ilvl="5">
      <w:numFmt w:val="bullet"/>
      <w:lvlText w:val="•"/>
      <w:lvlJc w:val="left"/>
      <w:pPr>
        <w:ind w:left="5104" w:hanging="360"/>
      </w:pPr>
    </w:lvl>
    <w:lvl w:ilvl="6">
      <w:numFmt w:val="bullet"/>
      <w:lvlText w:val="•"/>
      <w:lvlJc w:val="left"/>
      <w:pPr>
        <w:ind w:left="5995" w:hanging="360"/>
      </w:pPr>
    </w:lvl>
    <w:lvl w:ilvl="7">
      <w:numFmt w:val="bullet"/>
      <w:lvlText w:val="•"/>
      <w:lvlJc w:val="left"/>
      <w:pPr>
        <w:ind w:left="6886" w:hanging="360"/>
      </w:pPr>
    </w:lvl>
    <w:lvl w:ilvl="8">
      <w:numFmt w:val="bullet"/>
      <w:lvlText w:val="•"/>
      <w:lvlJc w:val="left"/>
      <w:pPr>
        <w:ind w:left="7777" w:hanging="360"/>
      </w:pPr>
    </w:lvl>
  </w:abstractNum>
  <w:abstractNum w:abstractNumId="14" w15:restartNumberingAfterBreak="0">
    <w:nsid w:val="61B517A0"/>
    <w:multiLevelType w:val="multilevel"/>
    <w:tmpl w:val="2B72349A"/>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
  </w:num>
  <w:num w:numId="2">
    <w:abstractNumId w:val="0"/>
  </w:num>
  <w:num w:numId="3">
    <w:abstractNumId w:val="3"/>
  </w:num>
  <w:num w:numId="4">
    <w:abstractNumId w:val="7"/>
  </w:num>
  <w:num w:numId="5">
    <w:abstractNumId w:val="6"/>
  </w:num>
  <w:num w:numId="6">
    <w:abstractNumId w:val="8"/>
  </w:num>
  <w:num w:numId="7">
    <w:abstractNumId w:val="12"/>
  </w:num>
  <w:num w:numId="8">
    <w:abstractNumId w:val="2"/>
  </w:num>
  <w:num w:numId="9">
    <w:abstractNumId w:val="13"/>
  </w:num>
  <w:num w:numId="10">
    <w:abstractNumId w:val="10"/>
  </w:num>
  <w:num w:numId="11">
    <w:abstractNumId w:val="14"/>
  </w:num>
  <w:num w:numId="12">
    <w:abstractNumId w:val="4"/>
  </w:num>
  <w:num w:numId="13">
    <w:abstractNumId w:val="9"/>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8BC"/>
    <w:rsid w:val="00071EBB"/>
    <w:rsid w:val="00230DA2"/>
    <w:rsid w:val="002F591F"/>
    <w:rsid w:val="005D21FA"/>
    <w:rsid w:val="0062382D"/>
    <w:rsid w:val="00A8650F"/>
    <w:rsid w:val="00B75C55"/>
    <w:rsid w:val="00B76824"/>
    <w:rsid w:val="00BB77BA"/>
    <w:rsid w:val="00C23266"/>
    <w:rsid w:val="00D40123"/>
    <w:rsid w:val="00DF10EC"/>
    <w:rsid w:val="00E85B67"/>
    <w:rsid w:val="00F32A40"/>
    <w:rsid w:val="00FA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D36233"/>
  <w15:docId w15:val="{D9235ABF-3996-A841-8FFA-644D4A0C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DF10EC"/>
    <w:rPr>
      <w:color w:val="0000FF" w:themeColor="hyperlink"/>
      <w:u w:val="single"/>
    </w:rPr>
  </w:style>
  <w:style w:type="character" w:styleId="UnresolvedMention">
    <w:name w:val="Unresolved Mention"/>
    <w:basedOn w:val="DefaultParagraphFont"/>
    <w:uiPriority w:val="99"/>
    <w:semiHidden/>
    <w:unhideWhenUsed/>
    <w:rsid w:val="00DF1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asbmb.org/education/core-concept-teaching-strategies/foundational-concepts" TargetMode="External"/><Relationship Id="rId13" Type="http://schemas.openxmlformats.org/officeDocument/2006/relationships/hyperlink" Target="https://doi.org/10.1186/1475-2875-9-115" TargetMode="External"/><Relationship Id="rId18" Type="http://schemas.openxmlformats.org/officeDocument/2006/relationships/hyperlink" Target="https://www.youtube.com/watch?v=BVRnNbb9cL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371/journal.pone.0196878.t002" TargetMode="External"/><Relationship Id="rId17" Type="http://schemas.openxmlformats.org/officeDocument/2006/relationships/hyperlink" Target="https://vimeo.com/88041399" TargetMode="External"/><Relationship Id="rId2" Type="http://schemas.openxmlformats.org/officeDocument/2006/relationships/numbering" Target="numbering.xml"/><Relationship Id="rId16" Type="http://schemas.openxmlformats.org/officeDocument/2006/relationships/hyperlink" Target="https://www.youtube.com/watch?v=hft79S__C_8" TargetMode="External"/><Relationship Id="rId20" Type="http://schemas.openxmlformats.org/officeDocument/2006/relationships/hyperlink" Target="https://pdb101.rcsb.org/teach/box-of-lessons/topics/biological-macromolecu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omolviz.org/framework/" TargetMode="External"/><Relationship Id="rId5" Type="http://schemas.openxmlformats.org/officeDocument/2006/relationships/webSettings" Target="webSettings.xml"/><Relationship Id="rId15" Type="http://schemas.openxmlformats.org/officeDocument/2006/relationships/hyperlink" Target="https://doi.org/10.4137/BBI.S37296" TargetMode="External"/><Relationship Id="rId23" Type="http://schemas.openxmlformats.org/officeDocument/2006/relationships/theme" Target="theme/theme1.xml"/><Relationship Id="rId10" Type="http://schemas.openxmlformats.org/officeDocument/2006/relationships/hyperlink" Target="https://www.acs.org/content/dam/acsorg/about/governance/committees/training/acsapproved/degreeprogram/macromolecular-supramolecular-nanoscale-supplement.pdf" TargetMode="External"/><Relationship Id="rId19" Type="http://schemas.openxmlformats.org/officeDocument/2006/relationships/hyperlink" Target="https://www.cdc.gov/parasites/about.html" TargetMode="External"/><Relationship Id="rId4" Type="http://schemas.openxmlformats.org/officeDocument/2006/relationships/settings" Target="settings.xml"/><Relationship Id="rId9" Type="http://schemas.openxmlformats.org/officeDocument/2006/relationships/hyperlink" Target="https://www.lifescied.org/doi/10.1187/cbe.13-12-0233" TargetMode="External"/><Relationship Id="rId14" Type="http://schemas.openxmlformats.org/officeDocument/2006/relationships/hyperlink" Target="https://doi.org/10.1016/j.pt.2014.02.00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TqlOMdyaPLCsbqxCYkMbCmVaFw==">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2571</Words>
  <Characters>14660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Shuchismita Dutta</cp:lastModifiedBy>
  <cp:revision>3</cp:revision>
  <dcterms:created xsi:type="dcterms:W3CDTF">2023-11-02T16:39:00Z</dcterms:created>
  <dcterms:modified xsi:type="dcterms:W3CDTF">2023-11-02T16:42:00Z</dcterms:modified>
</cp:coreProperties>
</file>