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BDC0" w14:textId="77777777" w:rsidR="00FF0F67" w:rsidRPr="00455B16" w:rsidRDefault="0000000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55B16">
        <w:rPr>
          <w:rFonts w:ascii="Arial" w:eastAsia="Arial" w:hAnsi="Arial" w:cs="Arial"/>
          <w:b/>
          <w:bCs/>
          <w:sz w:val="24"/>
          <w:szCs w:val="24"/>
        </w:rPr>
        <w:t>Learning Journal Assignment and Instructor Guide on Citizen Science</w:t>
      </w:r>
    </w:p>
    <w:p w14:paraId="6619541F" w14:textId="13D2EA95" w:rsidR="00455B16" w:rsidRPr="00455B16" w:rsidRDefault="00455B1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55B16">
        <w:rPr>
          <w:rFonts w:ascii="Arial" w:eastAsia="Arial" w:hAnsi="Arial" w:cs="Arial"/>
          <w:b/>
          <w:bCs/>
          <w:sz w:val="24"/>
          <w:szCs w:val="24"/>
        </w:rPr>
        <w:t xml:space="preserve">Learning Journal Assignment </w:t>
      </w:r>
    </w:p>
    <w:p w14:paraId="48C74CDC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Authors: Pankaj Mehrotra</w:t>
      </w:r>
      <w:r w:rsidRPr="00455B16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455B16">
        <w:rPr>
          <w:rFonts w:ascii="Arial" w:eastAsia="Arial" w:hAnsi="Arial" w:cs="Arial"/>
          <w:sz w:val="24"/>
          <w:szCs w:val="24"/>
        </w:rPr>
        <w:t>, Amy Dunbar-Wallis</w:t>
      </w:r>
      <w:r w:rsidRPr="00455B16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455B16">
        <w:rPr>
          <w:rFonts w:ascii="Arial" w:eastAsia="Arial" w:hAnsi="Arial" w:cs="Arial"/>
          <w:sz w:val="24"/>
          <w:szCs w:val="24"/>
        </w:rPr>
        <w:t>, Stacy Cotey</w:t>
      </w:r>
      <w:r w:rsidRPr="00455B16">
        <w:rPr>
          <w:rFonts w:ascii="Arial" w:eastAsia="Arial" w:hAnsi="Arial" w:cs="Arial"/>
          <w:sz w:val="24"/>
          <w:szCs w:val="24"/>
          <w:vertAlign w:val="superscript"/>
        </w:rPr>
        <w:t>3</w:t>
      </w:r>
      <w:r w:rsidRPr="00455B16">
        <w:rPr>
          <w:rFonts w:ascii="Arial" w:eastAsia="Arial" w:hAnsi="Arial" w:cs="Arial"/>
          <w:sz w:val="24"/>
          <w:szCs w:val="24"/>
        </w:rPr>
        <w:t>, and Heather Vance Chalcraft</w:t>
      </w:r>
      <w:r w:rsidRPr="00455B16">
        <w:rPr>
          <w:rFonts w:ascii="Arial" w:eastAsia="Arial" w:hAnsi="Arial" w:cs="Arial"/>
          <w:sz w:val="24"/>
          <w:szCs w:val="24"/>
          <w:vertAlign w:val="superscript"/>
        </w:rPr>
        <w:t>4</w:t>
      </w:r>
      <w:r w:rsidRPr="00455B16">
        <w:rPr>
          <w:rFonts w:ascii="Arial" w:eastAsia="Arial" w:hAnsi="Arial" w:cs="Arial"/>
          <w:sz w:val="24"/>
          <w:szCs w:val="24"/>
        </w:rPr>
        <w:t>.</w:t>
      </w:r>
    </w:p>
    <w:p w14:paraId="20DC7328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  <w:vertAlign w:val="superscript"/>
        </w:rPr>
        <w:t xml:space="preserve">1 </w:t>
      </w:r>
      <w:r w:rsidRPr="00455B16">
        <w:rPr>
          <w:rFonts w:ascii="Arial" w:eastAsia="Arial" w:hAnsi="Arial" w:cs="Arial"/>
          <w:sz w:val="24"/>
          <w:szCs w:val="24"/>
        </w:rPr>
        <w:t xml:space="preserve">University of the People, </w:t>
      </w:r>
      <w:r w:rsidRPr="00455B16">
        <w:rPr>
          <w:rFonts w:ascii="Arial" w:eastAsia="Arial" w:hAnsi="Arial" w:cs="Arial"/>
          <w:sz w:val="24"/>
          <w:szCs w:val="24"/>
          <w:vertAlign w:val="superscript"/>
        </w:rPr>
        <w:t>2.</w:t>
      </w:r>
      <w:r w:rsidRPr="00455B16">
        <w:rPr>
          <w:rFonts w:ascii="Arial" w:eastAsia="Arial" w:hAnsi="Arial" w:cs="Arial"/>
          <w:sz w:val="24"/>
          <w:szCs w:val="24"/>
        </w:rPr>
        <w:t xml:space="preserve"> University of Colorado Boulder, </w:t>
      </w:r>
      <w:r w:rsidRPr="00455B16">
        <w:rPr>
          <w:rFonts w:ascii="Arial" w:eastAsia="Arial" w:hAnsi="Arial" w:cs="Arial"/>
          <w:sz w:val="24"/>
          <w:szCs w:val="24"/>
          <w:vertAlign w:val="superscript"/>
        </w:rPr>
        <w:t xml:space="preserve">3 </w:t>
      </w:r>
      <w:r w:rsidRPr="00455B16">
        <w:rPr>
          <w:rFonts w:ascii="Arial" w:eastAsia="Arial" w:hAnsi="Arial" w:cs="Arial"/>
          <w:sz w:val="24"/>
          <w:szCs w:val="24"/>
        </w:rPr>
        <w:t xml:space="preserve">Michigan Technological University, </w:t>
      </w:r>
      <w:r w:rsidRPr="00455B16">
        <w:rPr>
          <w:rFonts w:ascii="Arial" w:eastAsia="Arial" w:hAnsi="Arial" w:cs="Arial"/>
          <w:sz w:val="24"/>
          <w:szCs w:val="24"/>
          <w:vertAlign w:val="superscript"/>
        </w:rPr>
        <w:t>4.</w:t>
      </w:r>
      <w:r w:rsidRPr="00455B16">
        <w:rPr>
          <w:rFonts w:ascii="Arial" w:eastAsia="Arial" w:hAnsi="Arial" w:cs="Arial"/>
          <w:sz w:val="24"/>
          <w:szCs w:val="24"/>
        </w:rPr>
        <w:t xml:space="preserve"> East Carolina University</w:t>
      </w:r>
    </w:p>
    <w:p w14:paraId="443A9A33" w14:textId="77777777" w:rsidR="00FF0F67" w:rsidRPr="00455B16" w:rsidRDefault="00000000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 w:rsidRPr="00455B16">
        <w:rPr>
          <w:rFonts w:ascii="Arial" w:eastAsia="Arial" w:hAnsi="Arial" w:cs="Arial"/>
          <w:sz w:val="24"/>
          <w:szCs w:val="24"/>
        </w:rPr>
        <w:t xml:space="preserve">Email : </w:t>
      </w:r>
      <w:hyperlink r:id="rId5">
        <w:r w:rsidRPr="00455B16">
          <w:rPr>
            <w:rFonts w:ascii="Arial" w:eastAsia="Arial" w:hAnsi="Arial" w:cs="Arial"/>
            <w:color w:val="467886"/>
            <w:sz w:val="24"/>
            <w:szCs w:val="24"/>
            <w:u w:val="single"/>
          </w:rPr>
          <w:t>pankaj.mehrotra@uopeople.edu</w:t>
        </w:r>
      </w:hyperlink>
      <w:r w:rsidRPr="00455B16">
        <w:rPr>
          <w:rFonts w:ascii="Arial" w:eastAsia="Arial" w:hAnsi="Arial" w:cs="Arial"/>
          <w:sz w:val="24"/>
          <w:szCs w:val="24"/>
        </w:rPr>
        <w:t xml:space="preserve">, </w:t>
      </w:r>
      <w:hyperlink r:id="rId6">
        <w:r w:rsidRPr="00455B16">
          <w:rPr>
            <w:rFonts w:ascii="Arial" w:eastAsia="Arial" w:hAnsi="Arial" w:cs="Arial"/>
            <w:color w:val="467886"/>
            <w:sz w:val="24"/>
            <w:szCs w:val="24"/>
            <w:u w:val="single"/>
          </w:rPr>
          <w:t>amy.dunbarwallis@colorado.edu</w:t>
        </w:r>
      </w:hyperlink>
      <w:r w:rsidRPr="00455B16">
        <w:rPr>
          <w:rFonts w:ascii="Arial" w:eastAsia="Arial" w:hAnsi="Arial" w:cs="Arial"/>
          <w:sz w:val="24"/>
          <w:szCs w:val="24"/>
        </w:rPr>
        <w:t xml:space="preserve">, </w:t>
      </w:r>
      <w:hyperlink r:id="rId7">
        <w:r w:rsidRPr="00455B16">
          <w:rPr>
            <w:rFonts w:ascii="Roboto" w:eastAsia="Roboto" w:hAnsi="Roboto" w:cs="Roboto"/>
            <w:color w:val="467886"/>
            <w:sz w:val="24"/>
            <w:szCs w:val="24"/>
            <w:highlight w:val="white"/>
            <w:u w:val="single"/>
          </w:rPr>
          <w:t>srcotey@mtu.edu</w:t>
        </w:r>
      </w:hyperlink>
      <w:r w:rsidRPr="00455B16"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and </w:t>
      </w:r>
      <w:hyperlink r:id="rId8">
        <w:r w:rsidRPr="00455B16">
          <w:rPr>
            <w:rFonts w:ascii="Roboto" w:eastAsia="Roboto" w:hAnsi="Roboto" w:cs="Roboto"/>
            <w:color w:val="467886"/>
            <w:sz w:val="24"/>
            <w:szCs w:val="24"/>
            <w:highlight w:val="white"/>
            <w:u w:val="single"/>
          </w:rPr>
          <w:t>VANCECHALCRAFTH@ecu.edu</w:t>
        </w:r>
      </w:hyperlink>
    </w:p>
    <w:p w14:paraId="173A7A1C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 xml:space="preserve">Listen to the Podcast, apply your knowledge and answer the following constructive questions </w:t>
      </w:r>
    </w:p>
    <w:p w14:paraId="396B4702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 xml:space="preserve">Topic of Podcast – </w:t>
      </w:r>
      <w:r w:rsidRPr="00455B16">
        <w:rPr>
          <w:rFonts w:ascii="Arial" w:eastAsia="Arial" w:hAnsi="Arial" w:cs="Arial"/>
          <w:b/>
          <w:bCs/>
          <w:sz w:val="24"/>
          <w:szCs w:val="24"/>
        </w:rPr>
        <w:t>Citizen Science</w:t>
      </w:r>
    </w:p>
    <w:p w14:paraId="638FF276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 xml:space="preserve">Podcast Link - </w:t>
      </w:r>
      <w:hyperlink r:id="rId9">
        <w:r w:rsidRPr="00455B16">
          <w:rPr>
            <w:rFonts w:ascii="Arial" w:eastAsia="Arial" w:hAnsi="Arial" w:cs="Arial"/>
            <w:color w:val="467886"/>
            <w:sz w:val="24"/>
            <w:szCs w:val="24"/>
            <w:u w:val="single"/>
          </w:rPr>
          <w:t>https://jphilgibsonlab.oucreate.com/uncategorized/citizen-science-037/</w:t>
        </w:r>
      </w:hyperlink>
    </w:p>
    <w:p w14:paraId="245597CC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Answer the below question without listening to the Podcast.</w:t>
      </w:r>
    </w:p>
    <w:p w14:paraId="02AD3B6A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1. Define citizen science and what strategies you employ at your institution /courses to educate students about Citizen Science.</w:t>
      </w:r>
    </w:p>
    <w:p w14:paraId="4ACCFDDD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Answer the questions below after listening to the Podcast and your previous knowledge</w:t>
      </w:r>
    </w:p>
    <w:p w14:paraId="3533F582" w14:textId="77777777" w:rsidR="00FF0F67" w:rsidRPr="00455B16" w:rsidRDefault="00000000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1. Which citizen science approach – do you find to be more effective for your course and why?</w:t>
      </w:r>
    </w:p>
    <w:p w14:paraId="255E4E20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2. List the differences between online citizen science and in-person citizen science.</w:t>
      </w:r>
    </w:p>
    <w:p w14:paraId="2DE7E98F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3. Citizen science activities in face-to-face learning environments, synchronous learning environments, and asynchronous learning environments are used to engage students. How are these learning environments used to engage students in citizen science activities?</w:t>
      </w:r>
    </w:p>
    <w:p w14:paraId="34F7D4D0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4. Briefly describe or create an infographic outlining a lecture plan or project plan explaining how learning environments—face-to-face, asynchronous, and synchronous—can be best utilized for citizen science activities.</w:t>
      </w:r>
    </w:p>
    <w:p w14:paraId="22ABFC71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5. The learning activities and tools are used to engage students. Think of ways you will integrate the appropriate learning strategies to engage students in a Citizen Science.</w:t>
      </w:r>
    </w:p>
    <w:p w14:paraId="3B003C77" w14:textId="77777777" w:rsidR="00FF0F67" w:rsidRPr="00455B16" w:rsidRDefault="00000000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6. Analyse the findings of learning outcomes of Citizen Science in different learning environments, you have previously read or integrated and then discuss possible explanations for these differences.</w:t>
      </w:r>
    </w:p>
    <w:p w14:paraId="131C6AAA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7. Can you think of additional ways to engage students in citizen science at your institution besides designing citizen science activities and utilizing tools?</w:t>
      </w:r>
    </w:p>
    <w:p w14:paraId="4434AF89" w14:textId="77777777" w:rsidR="00FF0F67" w:rsidRPr="00455B16" w:rsidRDefault="00000000">
      <w:pPr>
        <w:rPr>
          <w:rFonts w:ascii="Arial" w:eastAsia="Arial" w:hAnsi="Arial" w:cs="Arial"/>
          <w:sz w:val="24"/>
          <w:szCs w:val="24"/>
        </w:rPr>
      </w:pPr>
      <w:r w:rsidRPr="00455B16">
        <w:rPr>
          <w:rFonts w:ascii="Arial" w:eastAsia="Arial" w:hAnsi="Arial" w:cs="Arial"/>
          <w:sz w:val="24"/>
          <w:szCs w:val="24"/>
        </w:rPr>
        <w:t>8. Summarize the Podcast.</w:t>
      </w:r>
    </w:p>
    <w:p w14:paraId="6B6F168B" w14:textId="1D7E0F87" w:rsidR="00FF0F67" w:rsidRDefault="00000000" w:rsidP="00455B16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Instructor Guide</w:t>
      </w:r>
    </w:p>
    <w:p w14:paraId="444133EF" w14:textId="77777777" w:rsidR="00455B16" w:rsidRDefault="00455B16" w:rsidP="00455B16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C0C896" w14:textId="77777777" w:rsidR="00FF0F67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Pre-Implementation of Citizen Science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F0F67" w14:paraId="69D7E5B8" w14:textId="77777777">
        <w:tc>
          <w:tcPr>
            <w:tcW w:w="4508" w:type="dxa"/>
          </w:tcPr>
          <w:p w14:paraId="41DBE029" w14:textId="77777777" w:rsidR="00FF0F67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Instructor will</w:t>
            </w:r>
          </w:p>
        </w:tc>
        <w:tc>
          <w:tcPr>
            <w:tcW w:w="4508" w:type="dxa"/>
          </w:tcPr>
          <w:p w14:paraId="2B334B2E" w14:textId="77777777" w:rsidR="00FF0F67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will</w:t>
            </w:r>
          </w:p>
        </w:tc>
      </w:tr>
      <w:tr w:rsidR="00FF0F67" w14:paraId="23E6B6E0" w14:textId="77777777">
        <w:tc>
          <w:tcPr>
            <w:tcW w:w="4508" w:type="dxa"/>
          </w:tcPr>
          <w:p w14:paraId="1A94C506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Inquiry Based Learning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Instructor will engage students in stump your partner activity i.e.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ask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students to think and write a challenging question.</w:t>
            </w:r>
          </w:p>
        </w:tc>
        <w:tc>
          <w:tcPr>
            <w:tcW w:w="4508" w:type="dxa"/>
          </w:tcPr>
          <w:p w14:paraId="58573059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TASK </w:t>
            </w:r>
            <w:r>
              <w:rPr>
                <w:rFonts w:ascii="Arial" w:eastAsia="Arial" w:hAnsi="Arial" w:cs="Arial"/>
                <w:sz w:val="24"/>
                <w:szCs w:val="24"/>
              </w:rPr>
              <w:t>- Students will use the available resource like books, research articles to think and search for a challenging question</w:t>
            </w:r>
          </w:p>
        </w:tc>
      </w:tr>
      <w:tr w:rsidR="00FF0F67" w14:paraId="3267A9E6" w14:textId="77777777">
        <w:tc>
          <w:tcPr>
            <w:tcW w:w="4508" w:type="dxa"/>
          </w:tcPr>
          <w:p w14:paraId="65028278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Exploration</w:t>
            </w:r>
            <w:r>
              <w:rPr>
                <w:rFonts w:ascii="Arial" w:eastAsia="Arial" w:hAnsi="Arial" w:cs="Arial"/>
                <w:sz w:val="24"/>
                <w:szCs w:val="24"/>
              </w:rPr>
              <w:t>: Instructors will give students the opportunity to read the instructions of Citizen Science activity to identify the components of citizen science activity.</w:t>
            </w:r>
          </w:p>
        </w:tc>
        <w:tc>
          <w:tcPr>
            <w:tcW w:w="4508" w:type="dxa"/>
          </w:tcPr>
          <w:p w14:paraId="2C54204B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Students will independently and then in peer interaction will explore the citizen science activity guide.</w:t>
            </w:r>
          </w:p>
        </w:tc>
      </w:tr>
      <w:tr w:rsidR="00FF0F67" w14:paraId="03E7DB59" w14:textId="77777777">
        <w:tc>
          <w:tcPr>
            <w:tcW w:w="4508" w:type="dxa"/>
          </w:tcPr>
          <w:p w14:paraId="4DEDAF6D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Share out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Instructor will conduct one word and one-sentence summary activity by selecting a component of citizen science activity.</w:t>
            </w:r>
          </w:p>
        </w:tc>
        <w:tc>
          <w:tcPr>
            <w:tcW w:w="4508" w:type="dxa"/>
          </w:tcPr>
          <w:p w14:paraId="326FBE64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Students will move around the component and then explain the function as a share out after discussion with the group members.</w:t>
            </w:r>
          </w:p>
        </w:tc>
      </w:tr>
    </w:tbl>
    <w:p w14:paraId="70D690B6" w14:textId="77777777" w:rsidR="00FF0F67" w:rsidRDefault="00FF0F67">
      <w:pPr>
        <w:jc w:val="center"/>
        <w:rPr>
          <w:rFonts w:ascii="Arial" w:eastAsia="Arial" w:hAnsi="Arial" w:cs="Arial"/>
        </w:rPr>
      </w:pPr>
    </w:p>
    <w:p w14:paraId="727A9CD6" w14:textId="77777777" w:rsidR="00FF0F67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Implementation of Citizen Science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F0F67" w14:paraId="1117307F" w14:textId="77777777">
        <w:tc>
          <w:tcPr>
            <w:tcW w:w="4508" w:type="dxa"/>
          </w:tcPr>
          <w:p w14:paraId="64DFAE5C" w14:textId="77777777" w:rsidR="00FF0F67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Instructor will</w:t>
            </w:r>
          </w:p>
        </w:tc>
        <w:tc>
          <w:tcPr>
            <w:tcW w:w="4508" w:type="dxa"/>
          </w:tcPr>
          <w:p w14:paraId="7430D98F" w14:textId="77777777" w:rsidR="00FF0F67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will</w:t>
            </w:r>
          </w:p>
        </w:tc>
      </w:tr>
      <w:tr w:rsidR="00FF0F67" w14:paraId="2C8FD4A8" w14:textId="77777777">
        <w:tc>
          <w:tcPr>
            <w:tcW w:w="4508" w:type="dxa"/>
          </w:tcPr>
          <w:p w14:paraId="41AC4131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Group Activity</w:t>
            </w:r>
            <w:r>
              <w:rPr>
                <w:rFonts w:ascii="Arial" w:eastAsia="Arial" w:hAnsi="Arial" w:cs="Arial"/>
                <w:sz w:val="24"/>
                <w:szCs w:val="24"/>
              </w:rPr>
              <w:t>: Instructors will engage students in team work i.e. ask students to take up different leadership roles to complete the tasks.</w:t>
            </w:r>
          </w:p>
        </w:tc>
        <w:tc>
          <w:tcPr>
            <w:tcW w:w="4508" w:type="dxa"/>
          </w:tcPr>
          <w:p w14:paraId="084DD277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TASK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Students will use the discuss, plan and executive the teamwork. Record the data for organization, analysis and presentation. </w:t>
            </w:r>
          </w:p>
        </w:tc>
      </w:tr>
      <w:tr w:rsidR="00FF0F67" w14:paraId="34FC0736" w14:textId="77777777">
        <w:trPr>
          <w:trHeight w:val="260"/>
        </w:trPr>
        <w:tc>
          <w:tcPr>
            <w:tcW w:w="4508" w:type="dxa"/>
          </w:tcPr>
          <w:p w14:paraId="24DDF811" w14:textId="77777777" w:rsidR="00FF0F67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Self-Documentation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 Instructors will then ask each student to use self-documentation tools like Google, MS Sheet etc to create evidence of each member learning outcomes.</w:t>
            </w:r>
          </w:p>
        </w:tc>
        <w:tc>
          <w:tcPr>
            <w:tcW w:w="4508" w:type="dxa"/>
          </w:tcPr>
          <w:p w14:paraId="72825F24" w14:textId="77777777" w:rsidR="00FF0F67" w:rsidRDefault="0000000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Each student will take individual work evidence as a screenshot or image to reflect on their understanding.</w:t>
            </w:r>
          </w:p>
          <w:p w14:paraId="0E88E669" w14:textId="77777777" w:rsidR="00FF0F67" w:rsidRDefault="00FF0F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3AD7DE1" w14:textId="77777777" w:rsidR="00FF0F67" w:rsidRDefault="00FF0F67">
      <w:pPr>
        <w:jc w:val="center"/>
        <w:rPr>
          <w:rFonts w:ascii="Arial" w:eastAsia="Arial" w:hAnsi="Arial" w:cs="Arial"/>
        </w:rPr>
      </w:pPr>
    </w:p>
    <w:p w14:paraId="71C303B7" w14:textId="77777777" w:rsidR="00FF0F67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Post- Implementation of Citizen Science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F0F67" w14:paraId="6D19F93A" w14:textId="77777777">
        <w:tc>
          <w:tcPr>
            <w:tcW w:w="4508" w:type="dxa"/>
          </w:tcPr>
          <w:p w14:paraId="617281A8" w14:textId="77777777" w:rsidR="00FF0F67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Instructor will</w:t>
            </w:r>
          </w:p>
        </w:tc>
        <w:tc>
          <w:tcPr>
            <w:tcW w:w="4508" w:type="dxa"/>
          </w:tcPr>
          <w:p w14:paraId="00E505BE" w14:textId="77777777" w:rsidR="00FF0F67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will</w:t>
            </w:r>
          </w:p>
        </w:tc>
      </w:tr>
      <w:tr w:rsidR="00FF0F67" w14:paraId="2DD2A364" w14:textId="77777777">
        <w:tc>
          <w:tcPr>
            <w:tcW w:w="4508" w:type="dxa"/>
          </w:tcPr>
          <w:p w14:paraId="187B108C" w14:textId="77777777" w:rsidR="00FF0F67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Evaluation </w:t>
            </w:r>
          </w:p>
          <w:p w14:paraId="44368E38" w14:textId="77777777" w:rsidR="00FF0F67" w:rsidRDefault="00FF0F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FADF7E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-Instructor will create a gallery walk so that students can submit their individual and group work.</w:t>
            </w:r>
          </w:p>
          <w:p w14:paraId="625CED37" w14:textId="77777777" w:rsidR="00FF0F67" w:rsidRDefault="00FF0F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054E58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Instructor will then organize a mini- colloquium so that each group gets the opportunity to share their learning outcomes. For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example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if there were four groups then two groups present and two groups move to the group presenting to listen and ask questions. And then they move to the second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group. Finally, the two groups which did not present – they get the opportunity to present and each group which presented earlier moves around to each group to ask questions to the presenting group.</w:t>
            </w:r>
          </w:p>
        </w:tc>
        <w:tc>
          <w:tcPr>
            <w:tcW w:w="4508" w:type="dxa"/>
          </w:tcPr>
          <w:p w14:paraId="409B4702" w14:textId="77777777" w:rsidR="00FF0F67" w:rsidRDefault="00FF0F67">
            <w:pPr>
              <w:rPr>
                <w:rFonts w:ascii="Roboto Light" w:eastAsia="Roboto Light" w:hAnsi="Roboto Light" w:cs="Roboto Light"/>
              </w:rPr>
            </w:pPr>
          </w:p>
          <w:p w14:paraId="1FFFE4AE" w14:textId="77777777" w:rsidR="00FF0F67" w:rsidRDefault="00FF0F67">
            <w:pPr>
              <w:rPr>
                <w:rFonts w:ascii="Roboto Light" w:eastAsia="Roboto Light" w:hAnsi="Roboto Light" w:cs="Roboto Light"/>
              </w:rPr>
            </w:pPr>
          </w:p>
          <w:p w14:paraId="36F4AF98" w14:textId="77777777" w:rsidR="00FF0F6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Students will then submit their individual and group learning evidence to group leader for presentation on board or power point slides to be shown on small screen television.</w:t>
            </w:r>
          </w:p>
          <w:p w14:paraId="64011F87" w14:textId="77777777" w:rsidR="00FF0F67" w:rsidRDefault="00FF0F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23588F" w14:textId="77777777" w:rsidR="00FF0F67" w:rsidRDefault="00FF0F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09299C" w14:textId="77777777" w:rsidR="00FF0F67" w:rsidRDefault="00FF0F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8E2056" w14:textId="77777777" w:rsidR="00FF0F6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Students will then present - each member of the group gets the opportunity to say something in coherence.</w:t>
            </w:r>
          </w:p>
          <w:p w14:paraId="1A7B54D7" w14:textId="77777777" w:rsidR="00FF0F67" w:rsidRDefault="00FF0F67">
            <w:pPr>
              <w:rPr>
                <w:rFonts w:ascii="Arial" w:eastAsia="Arial" w:hAnsi="Arial" w:cs="Arial"/>
              </w:rPr>
            </w:pPr>
          </w:p>
          <w:p w14:paraId="08728E88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lastRenderedPageBreak/>
              <w:t>- Students will then move to other groups to listen and ask questions.</w:t>
            </w:r>
          </w:p>
        </w:tc>
      </w:tr>
    </w:tbl>
    <w:p w14:paraId="04D2FEB6" w14:textId="77777777" w:rsidR="00FF0F67" w:rsidRDefault="00FF0F67">
      <w:pPr>
        <w:jc w:val="center"/>
        <w:rPr>
          <w:rFonts w:ascii="Arial" w:eastAsia="Arial" w:hAnsi="Arial" w:cs="Arial"/>
        </w:rPr>
      </w:pPr>
    </w:p>
    <w:p w14:paraId="2D823541" w14:textId="77777777" w:rsidR="00FF0F67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Reflection of Citizen Science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F0F67" w14:paraId="3E8BFDAA" w14:textId="77777777">
        <w:tc>
          <w:tcPr>
            <w:tcW w:w="4508" w:type="dxa"/>
          </w:tcPr>
          <w:p w14:paraId="7741CDBC" w14:textId="77777777" w:rsidR="00FF0F67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Instructor will</w:t>
            </w:r>
          </w:p>
        </w:tc>
        <w:tc>
          <w:tcPr>
            <w:tcW w:w="4508" w:type="dxa"/>
          </w:tcPr>
          <w:p w14:paraId="327E9E4F" w14:textId="77777777" w:rsidR="00FF0F67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will</w:t>
            </w:r>
          </w:p>
        </w:tc>
      </w:tr>
      <w:tr w:rsidR="00FF0F67" w14:paraId="454B78FA" w14:textId="77777777">
        <w:tc>
          <w:tcPr>
            <w:tcW w:w="4508" w:type="dxa"/>
          </w:tcPr>
          <w:p w14:paraId="1B8F28BE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Self-reflection</w:t>
            </w:r>
            <w:r>
              <w:rPr>
                <w:rFonts w:ascii="Arial" w:eastAsia="Arial" w:hAnsi="Arial" w:cs="Arial"/>
                <w:sz w:val="24"/>
                <w:szCs w:val="24"/>
              </w:rPr>
              <w:t>: Instructor will engage students to reflect on the Citizen activity.</w:t>
            </w:r>
          </w:p>
        </w:tc>
        <w:tc>
          <w:tcPr>
            <w:tcW w:w="4508" w:type="dxa"/>
          </w:tcPr>
          <w:p w14:paraId="5E1ACD86" w14:textId="77777777" w:rsidR="00FF0F67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 – Each student will write the reflection including what better they could have done.</w:t>
            </w:r>
          </w:p>
        </w:tc>
      </w:tr>
      <w:tr w:rsidR="00FF0F67" w14:paraId="3D1419FF" w14:textId="77777777">
        <w:trPr>
          <w:trHeight w:val="260"/>
        </w:trPr>
        <w:tc>
          <w:tcPr>
            <w:tcW w:w="4508" w:type="dxa"/>
          </w:tcPr>
          <w:p w14:paraId="7B6CECDA" w14:textId="77777777" w:rsidR="00FF0F67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Group reflection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 Instructors will then engage each group to reflect on the Citizen Science Activity.</w:t>
            </w:r>
          </w:p>
        </w:tc>
        <w:tc>
          <w:tcPr>
            <w:tcW w:w="4508" w:type="dxa"/>
          </w:tcPr>
          <w:p w14:paraId="1CC765D4" w14:textId="77777777" w:rsidR="00FF0F67" w:rsidRDefault="0000000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Each group will then work on to reflect what better roles they could have taken in Citizen Science activity.</w:t>
            </w:r>
          </w:p>
          <w:p w14:paraId="289A2898" w14:textId="77777777" w:rsidR="00FF0F67" w:rsidRDefault="00FF0F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36301E" w14:textId="77777777" w:rsidR="00FF0F67" w:rsidRDefault="00FF0F67">
      <w:pPr>
        <w:jc w:val="center"/>
        <w:rPr>
          <w:rFonts w:ascii="Arial" w:eastAsia="Arial" w:hAnsi="Arial" w:cs="Arial"/>
        </w:rPr>
      </w:pPr>
    </w:p>
    <w:p w14:paraId="04E0B8A2" w14:textId="77777777" w:rsidR="00FF0F67" w:rsidRDefault="00FF0F67">
      <w:pPr>
        <w:rPr>
          <w:rFonts w:ascii="Arial" w:eastAsia="Arial" w:hAnsi="Arial" w:cs="Arial"/>
          <w:sz w:val="25"/>
          <w:szCs w:val="25"/>
        </w:rPr>
      </w:pPr>
    </w:p>
    <w:sectPr w:rsidR="00FF0F6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146F3F3-DB30-40A9-AB83-CE56D2474C00}"/>
    <w:embedItalic r:id="rId2" w:fontKey="{02F91FBA-FAE5-4A96-A669-7482B4AFA2A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46B39784-52B8-4CEA-BFFE-1194447D277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4" w:fontKey="{CD43EACD-EBE6-4019-917A-08C01F5B274D}"/>
  </w:font>
  <w:font w:name="Roboto Light">
    <w:charset w:val="00"/>
    <w:family w:val="auto"/>
    <w:pitch w:val="variable"/>
    <w:sig w:usb0="E0000AFF" w:usb1="5000217F" w:usb2="00000021" w:usb3="00000000" w:csb0="0000019F" w:csb1="00000000"/>
    <w:embedRegular r:id="rId5" w:fontKey="{AC19D5BB-6BA3-49D9-A719-9E2CE2AD06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67"/>
    <w:rsid w:val="001C74C2"/>
    <w:rsid w:val="00455B16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73B3"/>
  <w15:docId w15:val="{F6E9AE8A-7A81-4835-B0B0-782228A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7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7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D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D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DF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5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D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D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D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7D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DF3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CECHALCRAFTH@ec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cotey@mt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y.dunbarwallis@colorado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nkaj.mehrotra@uopeople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philgibsonlab.oucreate.com/uncategorized/citizen-science-037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m3Zsdf81p1GDtsNwH1k/BK/7Dg==">CgMxLjA4AHIhMU9BdXdIbFp3dFBFQTFMdGpETzZkVVpkdkFCalFjU2hC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learningbiology@outlook.com</dc:creator>
  <cp:lastModifiedBy>Pankaj Mehrotra</cp:lastModifiedBy>
  <cp:revision>2</cp:revision>
  <dcterms:created xsi:type="dcterms:W3CDTF">2024-06-12T15:30:00Z</dcterms:created>
  <dcterms:modified xsi:type="dcterms:W3CDTF">2024-06-12T15:30:00Z</dcterms:modified>
</cp:coreProperties>
</file>