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E1C6" w14:textId="77777777" w:rsidR="00707022" w:rsidRPr="00B73B62" w:rsidRDefault="00707022" w:rsidP="006B3842">
      <w:pPr>
        <w:spacing w:after="0" w:line="540" w:lineRule="atLeast"/>
        <w:jc w:val="center"/>
        <w:outlineLvl w:val="0"/>
        <w:rPr>
          <w:rFonts w:ascii="Roboto" w:eastAsia="Times New Roman" w:hAnsi="Roboto" w:cs="Times New Roman"/>
          <w:color w:val="000000" w:themeColor="text1"/>
          <w:kern w:val="36"/>
          <w:sz w:val="27"/>
          <w:szCs w:val="27"/>
          <w:lang w:eastAsia="en-CA"/>
        </w:rPr>
      </w:pPr>
      <w:r w:rsidRPr="00B73B62">
        <w:rPr>
          <w:rFonts w:ascii="Tahoma" w:eastAsia="Times New Roman" w:hAnsi="Tahoma" w:cs="Tahoma"/>
          <w:b/>
          <w:bCs/>
          <w:noProof/>
          <w:color w:val="000000" w:themeColor="text1"/>
          <w:sz w:val="24"/>
          <w:szCs w:val="24"/>
          <w:lang w:val="fr-CA" w:eastAsia="fr-CA"/>
        </w:rPr>
        <w:drawing>
          <wp:inline distT="0" distB="0" distL="0" distR="0" wp14:anchorId="63A6B283" wp14:editId="0D1B3FBB">
            <wp:extent cx="1356360" cy="1504200"/>
            <wp:effectExtent l="0" t="0" r="0" b="1270"/>
            <wp:docPr id="4" name="Picture 4" descr="C:\Users\vtrembl2\Desktop\Traduction Phages\Images icones\H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Hot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20" cy="15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BF8D" w14:textId="77777777" w:rsidR="00A62BB3" w:rsidRPr="00A62BB3" w:rsidRDefault="00A62BB3" w:rsidP="004A323F">
      <w:pPr>
        <w:spacing w:after="0" w:line="540" w:lineRule="atLeast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</w:pPr>
    </w:p>
    <w:p w14:paraId="28444DA3" w14:textId="48ACD964" w:rsidR="006B3842" w:rsidRPr="00B73B62" w:rsidRDefault="00E007CC" w:rsidP="004A323F">
      <w:pPr>
        <w:spacing w:after="0" w:line="54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val="fr-CA" w:eastAsia="en-CA"/>
        </w:rPr>
      </w:pPr>
      <w:r w:rsidRPr="00B73B62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val="fr-CA" w:eastAsia="fr-CA"/>
        </w:rPr>
        <w:t xml:space="preserve">Une introduction de la bactérie hôte </w:t>
      </w:r>
      <w:proofErr w:type="spellStart"/>
      <w:r w:rsidRPr="00B73B62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val="fr-CA" w:eastAsia="fr-CA"/>
        </w:rPr>
        <w:t>Gordonia</w:t>
      </w:r>
      <w:proofErr w:type="spellEnd"/>
      <w:r w:rsidRPr="00B73B62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val="fr-CA" w:eastAsia="fr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val="fr-CA" w:eastAsia="fr-CA"/>
        </w:rPr>
        <w:t>terrae</w:t>
      </w:r>
      <w:proofErr w:type="spellEnd"/>
    </w:p>
    <w:p w14:paraId="5F631E7C" w14:textId="32489629" w:rsidR="00330805" w:rsidRPr="00B73B62" w:rsidRDefault="00330805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789564B1" w14:textId="342787F4" w:rsidR="006B3842" w:rsidRPr="00B73B62" w:rsidRDefault="00330805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Les chercheurs appartenant au programme SEA-PHAGES explorent la diversité et les relations génétiques des populations de ba</w:t>
      </w:r>
      <w:r w:rsidR="00400200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ctériophages qui infectent les </w:t>
      </w:r>
      <w:proofErr w:type="spellStart"/>
      <w:r w:rsidR="00400200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A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ctinobactéries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, dont la bactérie </w:t>
      </w:r>
      <w:proofErr w:type="spellStart"/>
      <w:r w:rsidRPr="00B73B62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Gordonia</w:t>
      </w:r>
      <w:proofErr w:type="spellEnd"/>
      <w:r w:rsidRPr="00B73B62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.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Il existe de nombreuses souches différentes de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Gordonia</w:t>
      </w:r>
      <w:proofErr w:type="spellEnd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(isolées à partir d'échantillons différents). La souche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Gordonia</w:t>
      </w:r>
      <w:proofErr w:type="spellEnd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la plus communément utilisée dans le programme SEA-PHAGES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est appelée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Gordonia</w:t>
      </w:r>
      <w:proofErr w:type="spellEnd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CAG3, et a été à l'origine isolée d’un sol contaminé par le pétrole en Chine. </w:t>
      </w:r>
      <w:r w:rsidR="005B56A9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Elle pourra vous servir d</w:t>
      </w:r>
      <w:proofErr w:type="gramStart"/>
      <w:r w:rsidR="005B56A9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’«</w:t>
      </w:r>
      <w:proofErr w:type="gramEnd"/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="005B56A9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hôte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="005B56A9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» pour l’isolement de phages.</w:t>
      </w:r>
    </w:p>
    <w:p w14:paraId="1644DEDA" w14:textId="6B9779AC" w:rsidR="006B3842" w:rsidRPr="00B73B62" w:rsidRDefault="006B3842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B26111B" w14:textId="2D23BA1D" w:rsidR="005B56A9" w:rsidRPr="00B73B62" w:rsidRDefault="005B56A9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est l'une des espèces qui composent le genre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Gordonia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(il en existe plus de 19), c</w:t>
      </w:r>
      <w:r w:rsidR="00400200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lassé dans l’embranchement des </w:t>
      </w:r>
      <w:proofErr w:type="spellStart"/>
      <w:r w:rsidR="00400200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ctinobactéries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. 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. </w:t>
      </w:r>
      <w:proofErr w:type="gram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est</w:t>
      </w:r>
      <w:proofErr w:type="gram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un micro-organisme Gram-positif retrouvé dans le sol, dont les membres apparentés sont bien équipés pour décomposer divers hydrocarbures. Cette capacité fait de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Gordonia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une bactérie attrayante pour une utilisation en biorestauration (c'est-à-dire la dégradation des polluants) et en biotechnologie industrielle. Par exemple,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Gordonia</w:t>
      </w:r>
      <w:proofErr w:type="spellEnd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. MTCC 4818 est capable de décomposer les esters de l'acide phtalique, qui peuvent </w:t>
      </w:r>
      <w:r w:rsidR="001E76CC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agir comme hormones perturbatrices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du fonctionnement normal du corps. Une autre espèce de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Gordonia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CYSK-1, est capable d'éliminer le soufre des combustibles fossiles, ce qui permettra la production de carburants plus propres, comme le diesel à très faible teneur en soufre.</w:t>
      </w:r>
    </w:p>
    <w:p w14:paraId="2E6B36B1" w14:textId="4EA7C379" w:rsidR="006B3842" w:rsidRPr="00B73B62" w:rsidRDefault="006B3842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21DDDC5" w14:textId="1E90CE35" w:rsidR="006B3842" w:rsidRDefault="00E13D34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croîtra sur de nombreux milieux riches en nutriments. Dans vo</w:t>
      </w:r>
      <w:r w:rsidR="0060448A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tre recherche, vous ferez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="0060448A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pousser 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="0060448A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sur des milieux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PYCa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et à 30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°</w:t>
      </w:r>
      <w:r w:rsidR="00B73B62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. Dans ces conditions, 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="0060448A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pousse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rapidement, se divisant environ une fois toutes les 2 à 3 heures. Cela signifie qu'il faut généralement environ 3 jours pour qu'une cellule individuelle forme une 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colonie sur une plaque de gélose. Cependant, lors</w:t>
      </w:r>
      <w:r w:rsidR="0060448A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la préparation d'un tapis bactérien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vous pouvez commencer par ajouter de nombreuses cellules bactériennes (par exemple 10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7</w:t>
      </w:r>
      <w:r w:rsidR="0060448A"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ou plus) afin qu'un épais tapis bactérien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se développe en 2 à 3 jours.</w:t>
      </w:r>
    </w:p>
    <w:p w14:paraId="34437F3A" w14:textId="77777777" w:rsidR="00B73B62" w:rsidRPr="00B73B62" w:rsidRDefault="00B73B62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2ED1B49F" w14:textId="25A25E21" w:rsidR="0060448A" w:rsidRDefault="0060448A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Les colonies de 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sont de couleur beige à orange, de forme ronde, avec une texture rugueuse et sèche (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F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igure 4.0-4). Lorsqu'elles sont incubées pendant des périodes prolongées, la couleur des colonies s'intensifie. Une culture liquide de 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inoculée à partir d'une seule colonie prendra 2 à 3 jours pour former une culture saturée, présentant une couleur beige à orange. La souche avec laquelle vous travaillerez, 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G</w:t>
      </w:r>
      <w:r w:rsidRPr="00B73B62">
        <w:rPr>
          <w:rFonts w:ascii="Tahoma" w:eastAsia="Times New Roman" w:hAnsi="Tahoma" w:cs="Tahoma"/>
          <w:iCs/>
          <w:color w:val="000000" w:themeColor="text1"/>
          <w:sz w:val="24"/>
          <w:szCs w:val="24"/>
          <w:lang w:val="fr-CA" w:eastAsia="en-CA"/>
        </w:rPr>
        <w:t>.</w:t>
      </w:r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terrae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CAG3, n'est pas inhibée par l’agent antifongique cyclohex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mide ou l'antibiotique ampicilline, à de faibles concentrations. Par conséquent, ils peuvent être ajouté au milieu de croissance pour empêcher d'autres micro-organismes de se développer dans vos cultures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6101D4D4" w14:textId="77777777" w:rsidR="00C71B03" w:rsidRPr="00B73B62" w:rsidRDefault="00C71B03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tbl>
      <w:tblPr>
        <w:tblW w:w="54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</w:tblGrid>
      <w:tr w:rsidR="00B73B62" w:rsidRPr="00B73B62" w14:paraId="4633FAB5" w14:textId="77777777" w:rsidTr="00FC185E">
        <w:trPr>
          <w:trHeight w:val="4285"/>
          <w:jc w:val="center"/>
        </w:trPr>
        <w:tc>
          <w:tcPr>
            <w:tcW w:w="0" w:type="auto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E0AFA60" w14:textId="77777777" w:rsidR="006B3842" w:rsidRPr="00B73B62" w:rsidRDefault="006B3842" w:rsidP="002278F6">
            <w:pPr>
              <w:spacing w:after="0" w:line="384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n-CA"/>
              </w:rPr>
            </w:pPr>
            <w:r w:rsidRPr="00B73B62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lang w:val="fr-CA" w:eastAsia="fr-CA"/>
              </w:rPr>
              <w:drawing>
                <wp:inline distT="0" distB="0" distL="0" distR="0" wp14:anchorId="6968B13D" wp14:editId="706455DC">
                  <wp:extent cx="2697480" cy="2697480"/>
                  <wp:effectExtent l="0" t="0" r="7620" b="7620"/>
                  <wp:docPr id="1" name="Picture 1" descr="https://dzf8vqv24eqhg.cloudfront.net/userfiles/11001/13941/ckfinder/images/Gordonia%20terrae.jpg">
                    <a:hlinkClick xmlns:a="http://schemas.openxmlformats.org/drawingml/2006/main" r:id="rId5" tooltip="&quot;Figure 4.0-4. Gordonia terrae. growing on an agar plat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zf8vqv24eqhg.cloudfront.net/userfiles/11001/13941/ckfinder/images/Gordonia%20terrae.jpg">
                            <a:hlinkClick r:id="rId5" tooltip="&quot;Figure 4.0-4. Gordonia terrae. growing on an agar plat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62" w:rsidRPr="00B73B62" w14:paraId="6DA9C4BF" w14:textId="77777777" w:rsidTr="00FC185E">
        <w:trPr>
          <w:trHeight w:val="436"/>
          <w:jc w:val="center"/>
        </w:trPr>
        <w:tc>
          <w:tcPr>
            <w:tcW w:w="0" w:type="auto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9F9F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325D6AE" w14:textId="77777777" w:rsidR="0060448A" w:rsidRPr="00FC185E" w:rsidRDefault="0060448A" w:rsidP="004002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</w:pPr>
            <w:r w:rsidRPr="00FC185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 xml:space="preserve">Figure 4.0-4. </w:t>
            </w:r>
            <w:proofErr w:type="spellStart"/>
            <w:r w:rsidRPr="00FC185E">
              <w:rPr>
                <w:rFonts w:ascii="Tahoma" w:eastAsia="Times New Roman" w:hAnsi="Tahoma" w:cs="Tahoma"/>
                <w:i/>
                <w:color w:val="000000" w:themeColor="text1"/>
                <w:sz w:val="18"/>
                <w:szCs w:val="18"/>
                <w:lang w:val="fr-CA" w:eastAsia="en-CA"/>
              </w:rPr>
              <w:t>Gordonia</w:t>
            </w:r>
            <w:proofErr w:type="spellEnd"/>
            <w:r w:rsidRPr="00FC185E">
              <w:rPr>
                <w:rFonts w:ascii="Tahoma" w:eastAsia="Times New Roman" w:hAnsi="Tahoma" w:cs="Tahoma"/>
                <w:i/>
                <w:color w:val="000000" w:themeColor="text1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Pr="00FC185E">
              <w:rPr>
                <w:rFonts w:ascii="Tahoma" w:eastAsia="Times New Roman" w:hAnsi="Tahoma" w:cs="Tahoma"/>
                <w:i/>
                <w:color w:val="000000" w:themeColor="text1"/>
                <w:sz w:val="18"/>
                <w:szCs w:val="18"/>
                <w:lang w:val="fr-CA" w:eastAsia="en-CA"/>
              </w:rPr>
              <w:t>terrae</w:t>
            </w:r>
            <w:proofErr w:type="spellEnd"/>
            <w:r w:rsidRPr="00FC185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 xml:space="preserve"> poussant sur une plaque de gélose.</w:t>
            </w:r>
          </w:p>
        </w:tc>
      </w:tr>
    </w:tbl>
    <w:p w14:paraId="24EDD70A" w14:textId="41D197E6" w:rsidR="006B3842" w:rsidRPr="00B73B62" w:rsidRDefault="006B3842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535F53A7" w14:textId="20BD3683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Si vous utilisez cette bactérie comme hôte pour l'isolement des phages, référez-vous à la liste ci-dessous pour les conditions de croissance et de culture spécifiques à vos expériences.</w:t>
      </w:r>
    </w:p>
    <w:p w14:paraId="0B191047" w14:textId="77777777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5B9228C4" w14:textId="15E0FEE8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</w:pPr>
      <w:r w:rsidRP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lastRenderedPageBreak/>
        <w:t>Milieu de croissance</w:t>
      </w:r>
      <w:r w:rsid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: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PYCa</w:t>
      </w:r>
      <w:proofErr w:type="spellEnd"/>
    </w:p>
    <w:p w14:paraId="1132D128" w14:textId="77777777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58E98DC" w14:textId="62387D83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Température de croissance</w:t>
      </w:r>
      <w:r w:rsid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: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30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°</w:t>
      </w:r>
      <w:r w:rsidR="00B73B62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</w:t>
      </w:r>
    </w:p>
    <w:p w14:paraId="2A8B2C01" w14:textId="77777777" w:rsidR="006B3842" w:rsidRPr="00B73B62" w:rsidRDefault="006B3842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3823F469" w14:textId="5F3F1114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Agents antimicrobiens</w:t>
      </w:r>
      <w:r w:rsid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: cycloheximide (10 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μ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g/ml), ampicilline (optionnel, et maximum 10 mg/ml)</w:t>
      </w:r>
    </w:p>
    <w:p w14:paraId="56643603" w14:textId="77777777" w:rsidR="004A323F" w:rsidRPr="00B73B62" w:rsidRDefault="004A323F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5D78F112" w14:textId="117F0F40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Tampon pour phages</w:t>
      </w:r>
      <w:r w:rsid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B73B6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: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Tris 10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(pH 7.5), MgSO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vertAlign w:val="subscript"/>
          <w:lang w:val="fr-CA" w:eastAsia="fr-CA"/>
        </w:rPr>
        <w:t xml:space="preserve">4 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10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,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NaCl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68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, CaCl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vertAlign w:val="subscript"/>
          <w:lang w:val="fr-CA" w:eastAsia="fr-CA"/>
        </w:rPr>
        <w:t>2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1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, (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glycerol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10%, optionnel)</w:t>
      </w:r>
    </w:p>
    <w:p w14:paraId="03C53388" w14:textId="77777777" w:rsidR="006D51A0" w:rsidRPr="00B73B62" w:rsidRDefault="006D51A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3F56A2C7" w14:textId="1E4EB5BD" w:rsidR="00400200" w:rsidRPr="00B73B62" w:rsidRDefault="00400200" w:rsidP="00400200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B73B62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Enzymes de restriction</w:t>
      </w:r>
      <w:r w:rsidR="00C71B03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 </w:t>
      </w:r>
      <w:r w:rsidRPr="00C71B03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BamHI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,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ClaI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,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EcoRI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,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HaeIII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et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HindII</w:t>
      </w:r>
      <w:proofErr w:type="spellEnd"/>
    </w:p>
    <w:p w14:paraId="2DD1C606" w14:textId="29FE957B" w:rsidR="00F0704E" w:rsidRPr="00B73B62" w:rsidRDefault="00400200" w:rsidP="00B73B62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Remarque</w:t>
      </w:r>
      <w:r w:rsid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: les </w:t>
      </w:r>
      <w:proofErr w:type="spellStart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isoschizomères</w:t>
      </w:r>
      <w:proofErr w:type="spellEnd"/>
      <w:r w:rsidRPr="00B73B62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qui sont différentes enzymes de restriction qui reconnaissent la même séquence d'ADN, peuvent être utilisés à la place de l'une des enzymes énumérées ci-dessus.</w:t>
      </w:r>
    </w:p>
    <w:sectPr w:rsidR="00F0704E" w:rsidRPr="00B73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42"/>
    <w:rsid w:val="001E76CC"/>
    <w:rsid w:val="002278F6"/>
    <w:rsid w:val="00330805"/>
    <w:rsid w:val="00400200"/>
    <w:rsid w:val="004A323F"/>
    <w:rsid w:val="005B56A9"/>
    <w:rsid w:val="0060448A"/>
    <w:rsid w:val="006B3842"/>
    <w:rsid w:val="006D51A0"/>
    <w:rsid w:val="00707022"/>
    <w:rsid w:val="007A64D6"/>
    <w:rsid w:val="00A62BB3"/>
    <w:rsid w:val="00B14489"/>
    <w:rsid w:val="00B73B62"/>
    <w:rsid w:val="00C71B03"/>
    <w:rsid w:val="00E007CC"/>
    <w:rsid w:val="00E13D34"/>
    <w:rsid w:val="00F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6A19"/>
  <w15:chartTrackingRefBased/>
  <w15:docId w15:val="{5D5232B9-49C9-486E-BDA6-38CD5CC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4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Emphasis">
    <w:name w:val="Emphasis"/>
    <w:basedOn w:val="DefaultParagraphFont"/>
    <w:uiPriority w:val="20"/>
    <w:qFormat/>
    <w:rsid w:val="006B38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B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zf8vqv24eqhg.cloudfront.net/userfiles/11001/13941/ckfinder/images/Gordonia%20terrae.jpg?width=312&amp;height=3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519</Words>
  <Characters>3033</Characters>
  <Application>Microsoft Office Word</Application>
  <DocSecurity>0</DocSecurity>
  <Lines>57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9</cp:revision>
  <dcterms:created xsi:type="dcterms:W3CDTF">2020-07-30T18:02:00Z</dcterms:created>
  <dcterms:modified xsi:type="dcterms:W3CDTF">2021-04-23T16:53:00Z</dcterms:modified>
</cp:coreProperties>
</file>