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D3" w:rsidRDefault="004F0BD3" w:rsidP="004F0BD3">
      <w:pPr>
        <w:jc w:val="right"/>
      </w:pPr>
      <w:r>
        <w:t>Name</w:t>
      </w:r>
      <w:r>
        <w:br/>
        <w:t>Date</w:t>
      </w:r>
      <w:r>
        <w:br/>
        <w:t>Math 214</w:t>
      </w:r>
      <w:r>
        <w:br/>
      </w:r>
    </w:p>
    <w:p w:rsidR="004F0BD3" w:rsidRDefault="0004211F" w:rsidP="00AC6612">
      <w:pPr>
        <w:jc w:val="center"/>
        <w:rPr>
          <w:b/>
        </w:rPr>
      </w:pPr>
      <w:r>
        <w:rPr>
          <w:b/>
        </w:rPr>
        <w:t>Lab 02</w:t>
      </w:r>
    </w:p>
    <w:p w:rsidR="0004211F" w:rsidRDefault="0004211F" w:rsidP="0004211F">
      <w:pPr>
        <w:rPr>
          <w:rStyle w:val="IntenseEmphasis"/>
          <w:color w:val="auto"/>
        </w:rPr>
      </w:pPr>
    </w:p>
    <w:p w:rsidR="0004211F" w:rsidRPr="0004211F" w:rsidRDefault="0004211F" w:rsidP="0004211F">
      <w:pPr>
        <w:rPr>
          <w:rStyle w:val="IntenseEmphasis"/>
          <w:color w:val="auto"/>
        </w:rPr>
      </w:pPr>
      <w:r>
        <w:rPr>
          <w:rStyle w:val="IntenseEmphasis"/>
          <w:color w:val="auto"/>
        </w:rPr>
        <w:t>Base Model – Assume the average citizen of Nowhere eats 1 largemouth bass per day</w:t>
      </w:r>
    </w:p>
    <w:tbl>
      <w:tblPr>
        <w:tblStyle w:val="TableGrid"/>
        <w:tblW w:w="9445" w:type="dxa"/>
        <w:tblCellMar>
          <w:top w:w="43" w:type="dxa"/>
          <w:left w:w="115" w:type="dxa"/>
          <w:bottom w:w="43" w:type="dxa"/>
          <w:right w:w="115" w:type="dxa"/>
        </w:tblCellMar>
        <w:tblLook w:val="04A0" w:firstRow="1" w:lastRow="0" w:firstColumn="1" w:lastColumn="0" w:noHBand="0" w:noVBand="1"/>
      </w:tblPr>
      <w:tblGrid>
        <w:gridCol w:w="2245"/>
        <w:gridCol w:w="4770"/>
        <w:gridCol w:w="2430"/>
      </w:tblGrid>
      <w:tr w:rsidR="0004211F" w:rsidTr="00F71A8A">
        <w:tc>
          <w:tcPr>
            <w:tcW w:w="2245" w:type="dxa"/>
            <w:vAlign w:val="center"/>
          </w:tcPr>
          <w:p w:rsidR="0004211F" w:rsidRPr="004F0BD3" w:rsidRDefault="0004211F" w:rsidP="0004211F">
            <w:pPr>
              <w:jc w:val="center"/>
              <w:rPr>
                <w:b/>
              </w:rPr>
            </w:pPr>
            <w:r>
              <w:rPr>
                <w:b/>
              </w:rPr>
              <w:t>Parameter</w:t>
            </w:r>
          </w:p>
        </w:tc>
        <w:tc>
          <w:tcPr>
            <w:tcW w:w="4770" w:type="dxa"/>
            <w:vAlign w:val="center"/>
          </w:tcPr>
          <w:p w:rsidR="0004211F" w:rsidRDefault="0004211F" w:rsidP="0004211F">
            <w:pPr>
              <w:jc w:val="center"/>
              <w:rPr>
                <w:b/>
              </w:rPr>
            </w:pPr>
            <w:r>
              <w:rPr>
                <w:b/>
              </w:rPr>
              <w:t>Value</w:t>
            </w:r>
          </w:p>
        </w:tc>
        <w:tc>
          <w:tcPr>
            <w:tcW w:w="2430" w:type="dxa"/>
            <w:vAlign w:val="center"/>
          </w:tcPr>
          <w:p w:rsidR="0004211F" w:rsidRDefault="0004211F" w:rsidP="0004211F">
            <w:pPr>
              <w:jc w:val="center"/>
              <w:rPr>
                <w:b/>
              </w:rPr>
            </w:pPr>
            <w:r>
              <w:rPr>
                <w:b/>
              </w:rPr>
              <w:t>Units</w:t>
            </w:r>
          </w:p>
        </w:tc>
      </w:tr>
      <w:tr w:rsidR="00A57F7B" w:rsidTr="00F71A8A">
        <w:tc>
          <w:tcPr>
            <w:tcW w:w="2245" w:type="dxa"/>
          </w:tcPr>
          <w:p w:rsidR="00A57F7B" w:rsidRDefault="00A57F7B" w:rsidP="00A57F7B">
            <w:pPr>
              <w:jc w:val="center"/>
              <w:rPr>
                <w:rFonts w:ascii="Times New Roman" w:eastAsia="Times New Roman" w:hAnsi="Times New Roman" w:cs="Times New Roman"/>
              </w:rPr>
            </w:pPr>
            <w:r>
              <w:rPr>
                <w:rFonts w:ascii="Times New Roman" w:eastAsia="Times New Roman" w:hAnsi="Times New Roman" w:cs="Times New Roman"/>
              </w:rPr>
              <w:t xml:space="preserve">Half Life </w:t>
            </w:r>
            <m:oMath>
              <m:d>
                <m:dPr>
                  <m:ctrlPr>
                    <w:rPr>
                      <w:rFonts w:ascii="Cambria Math" w:eastAsia="Times New Roman" w:hAnsi="Cambria Math" w:cs="Times New Roman"/>
                      <w:i/>
                    </w:rPr>
                  </m:ctrlPr>
                </m:dPr>
                <m:e>
                  <m:sSup>
                    <m:sSupPr>
                      <m:ctrlPr>
                        <w:rPr>
                          <w:rFonts w:ascii="Cambria Math" w:eastAsia="Times New Roman" w:hAnsi="Cambria Math" w:cs="Times New Roman"/>
                          <w:i/>
                        </w:rPr>
                      </m:ctrlPr>
                    </m:sSupPr>
                    <m:e>
                      <m:r>
                        <w:rPr>
                          <w:rFonts w:ascii="Cambria Math" w:eastAsia="Times New Roman" w:hAnsi="Cambria Math" w:cs="Times New Roman"/>
                        </w:rPr>
                        <m:t>t</m:t>
                      </m:r>
                    </m:e>
                    <m:sup>
                      <m:r>
                        <w:rPr>
                          <w:rFonts w:ascii="Cambria Math" w:eastAsia="Times New Roman" w:hAnsi="Cambria Math" w:cs="Times New Roman"/>
                        </w:rPr>
                        <m:t>*</m:t>
                      </m:r>
                    </m:sup>
                  </m:sSup>
                </m:e>
              </m:d>
            </m:oMath>
          </w:p>
        </w:tc>
        <w:tc>
          <w:tcPr>
            <w:tcW w:w="4770" w:type="dxa"/>
            <w:vAlign w:val="center"/>
          </w:tcPr>
          <w:p w:rsidR="00A57F7B" w:rsidRPr="00F71A8A" w:rsidRDefault="00A57F7B" w:rsidP="00F71A8A">
            <w:pPr>
              <w:jc w:val="center"/>
              <w:rPr>
                <w:color w:val="4472C4" w:themeColor="accent5"/>
              </w:rPr>
            </w:pPr>
          </w:p>
        </w:tc>
        <w:tc>
          <w:tcPr>
            <w:tcW w:w="2430" w:type="dxa"/>
            <w:vAlign w:val="center"/>
          </w:tcPr>
          <w:p w:rsidR="00A57F7B" w:rsidRPr="00F71A8A" w:rsidRDefault="00A57F7B" w:rsidP="00F71A8A">
            <w:pPr>
              <w:jc w:val="center"/>
              <w:rPr>
                <w:color w:val="4472C4" w:themeColor="accent5"/>
              </w:rPr>
            </w:pPr>
          </w:p>
        </w:tc>
      </w:tr>
      <w:tr w:rsidR="0004211F" w:rsidTr="00F71A8A">
        <w:tc>
          <w:tcPr>
            <w:tcW w:w="2245" w:type="dxa"/>
          </w:tcPr>
          <w:p w:rsidR="0004211F" w:rsidRPr="004F0BD3" w:rsidRDefault="0004211F" w:rsidP="0004211F">
            <m:oMathPara>
              <m:oMath>
                <m:r>
                  <w:rPr>
                    <w:rFonts w:ascii="Cambria Math" w:hAnsi="Cambria Math"/>
                  </w:rPr>
                  <m:t>k</m:t>
                </m:r>
              </m:oMath>
            </m:oMathPara>
          </w:p>
        </w:tc>
        <w:tc>
          <w:tcPr>
            <w:tcW w:w="4770" w:type="dxa"/>
            <w:vAlign w:val="center"/>
          </w:tcPr>
          <w:p w:rsidR="0004211F" w:rsidRPr="00F71A8A" w:rsidRDefault="0004211F" w:rsidP="00F71A8A">
            <w:pPr>
              <w:jc w:val="center"/>
              <w:rPr>
                <w:color w:val="4472C4" w:themeColor="accent5"/>
              </w:rPr>
            </w:pPr>
          </w:p>
        </w:tc>
        <w:tc>
          <w:tcPr>
            <w:tcW w:w="2430" w:type="dxa"/>
            <w:vAlign w:val="center"/>
          </w:tcPr>
          <w:p w:rsidR="0004211F" w:rsidRPr="00F71A8A" w:rsidRDefault="0004211F" w:rsidP="00F71A8A">
            <w:pPr>
              <w:jc w:val="center"/>
              <w:rPr>
                <w:color w:val="4472C4" w:themeColor="accent5"/>
              </w:rPr>
            </w:pPr>
          </w:p>
        </w:tc>
      </w:tr>
      <w:tr w:rsidR="0004211F" w:rsidTr="00F71A8A">
        <w:tc>
          <w:tcPr>
            <w:tcW w:w="2245" w:type="dxa"/>
          </w:tcPr>
          <w:p w:rsidR="0004211F" w:rsidRPr="004F0BD3" w:rsidRDefault="0004211F" w:rsidP="0004211F">
            <m:oMathPara>
              <m:oMath>
                <m:r>
                  <w:rPr>
                    <w:rFonts w:ascii="Cambria Math" w:hAnsi="Cambria Math"/>
                  </w:rPr>
                  <m:t>τ</m:t>
                </m:r>
              </m:oMath>
            </m:oMathPara>
          </w:p>
        </w:tc>
        <w:tc>
          <w:tcPr>
            <w:tcW w:w="4770" w:type="dxa"/>
            <w:vAlign w:val="center"/>
          </w:tcPr>
          <w:p w:rsidR="0004211F" w:rsidRPr="00F71A8A" w:rsidRDefault="0004211F" w:rsidP="00F71A8A">
            <w:pPr>
              <w:jc w:val="center"/>
              <w:rPr>
                <w:color w:val="4472C4" w:themeColor="accent5"/>
              </w:rPr>
            </w:pPr>
          </w:p>
        </w:tc>
        <w:tc>
          <w:tcPr>
            <w:tcW w:w="2430" w:type="dxa"/>
          </w:tcPr>
          <w:p w:rsidR="0004211F" w:rsidRPr="00F71A8A" w:rsidRDefault="0004211F" w:rsidP="00F71A8A">
            <w:pPr>
              <w:jc w:val="center"/>
              <w:rPr>
                <w:color w:val="4472C4" w:themeColor="accent5"/>
              </w:rPr>
            </w:pPr>
          </w:p>
        </w:tc>
      </w:tr>
      <w:tr w:rsidR="0004211F" w:rsidTr="00F71A8A">
        <w:tc>
          <w:tcPr>
            <w:tcW w:w="2245" w:type="dxa"/>
          </w:tcPr>
          <w:p w:rsidR="0004211F" w:rsidRPr="004F0BD3" w:rsidRDefault="0004211F" w:rsidP="0004211F">
            <m:oMathPara>
              <m:oMath>
                <m:r>
                  <w:rPr>
                    <w:rFonts w:ascii="Cambria Math" w:hAnsi="Cambria Math"/>
                  </w:rPr>
                  <m:t>b</m:t>
                </m:r>
              </m:oMath>
            </m:oMathPara>
          </w:p>
        </w:tc>
        <w:tc>
          <w:tcPr>
            <w:tcW w:w="4770" w:type="dxa"/>
            <w:vAlign w:val="center"/>
          </w:tcPr>
          <w:p w:rsidR="0004211F" w:rsidRPr="00F71A8A" w:rsidRDefault="0004211F" w:rsidP="00F71A8A">
            <w:pPr>
              <w:jc w:val="center"/>
              <w:rPr>
                <w:color w:val="4472C4" w:themeColor="accent5"/>
              </w:rPr>
            </w:pPr>
          </w:p>
        </w:tc>
        <w:tc>
          <w:tcPr>
            <w:tcW w:w="2430" w:type="dxa"/>
          </w:tcPr>
          <w:p w:rsidR="0004211F" w:rsidRPr="00F71A8A" w:rsidRDefault="0004211F" w:rsidP="00F71A8A">
            <w:pPr>
              <w:jc w:val="center"/>
              <w:rPr>
                <w:color w:val="4472C4" w:themeColor="accent5"/>
              </w:rPr>
            </w:pPr>
          </w:p>
        </w:tc>
      </w:tr>
      <w:tr w:rsidR="0004211F" w:rsidTr="00F71A8A">
        <w:tc>
          <w:tcPr>
            <w:tcW w:w="2245" w:type="dxa"/>
            <w:shd w:val="clear" w:color="auto" w:fill="7F7F7F" w:themeFill="text1" w:themeFillTint="80"/>
          </w:tcPr>
          <w:p w:rsidR="0004211F" w:rsidRDefault="0004211F" w:rsidP="0004211F">
            <w:pPr>
              <w:rPr>
                <w:rFonts w:ascii="Times New Roman" w:eastAsia="Times New Roman" w:hAnsi="Times New Roman" w:cs="Times New Roman"/>
              </w:rPr>
            </w:pPr>
          </w:p>
        </w:tc>
        <w:tc>
          <w:tcPr>
            <w:tcW w:w="4770" w:type="dxa"/>
            <w:shd w:val="clear" w:color="auto" w:fill="7F7F7F" w:themeFill="text1" w:themeFillTint="80"/>
          </w:tcPr>
          <w:p w:rsidR="0004211F" w:rsidRPr="004F0BD3" w:rsidRDefault="0004211F" w:rsidP="004F0BD3">
            <w:pPr>
              <w:jc w:val="right"/>
            </w:pPr>
          </w:p>
        </w:tc>
        <w:tc>
          <w:tcPr>
            <w:tcW w:w="2430" w:type="dxa"/>
            <w:shd w:val="clear" w:color="auto" w:fill="7F7F7F" w:themeFill="text1" w:themeFillTint="80"/>
          </w:tcPr>
          <w:p w:rsidR="0004211F" w:rsidRDefault="0004211F" w:rsidP="0004211F"/>
        </w:tc>
      </w:tr>
      <w:tr w:rsidR="0004211F" w:rsidTr="00F71A8A">
        <w:tc>
          <w:tcPr>
            <w:tcW w:w="2245" w:type="dxa"/>
            <w:vAlign w:val="center"/>
          </w:tcPr>
          <w:p w:rsidR="0004211F" w:rsidRPr="0004211F" w:rsidRDefault="0004211F" w:rsidP="0004211F">
            <w:pPr>
              <w:jc w:val="center"/>
              <w:rPr>
                <w:rFonts w:ascii="Times New Roman" w:eastAsia="Times New Roman" w:hAnsi="Times New Roman" w:cs="Times New Roman"/>
                <w:b/>
              </w:rPr>
            </w:pPr>
            <w:r>
              <w:rPr>
                <w:rFonts w:ascii="Times New Roman" w:eastAsia="Times New Roman" w:hAnsi="Times New Roman" w:cs="Times New Roman"/>
                <w:b/>
              </w:rPr>
              <w:t>Calculated Quantity</w:t>
            </w:r>
          </w:p>
        </w:tc>
        <w:tc>
          <w:tcPr>
            <w:tcW w:w="4770" w:type="dxa"/>
            <w:vAlign w:val="center"/>
          </w:tcPr>
          <w:p w:rsidR="0004211F" w:rsidRPr="0004211F" w:rsidRDefault="0004211F" w:rsidP="0004211F">
            <w:pPr>
              <w:jc w:val="center"/>
              <w:rPr>
                <w:b/>
              </w:rPr>
            </w:pPr>
            <w:r>
              <w:rPr>
                <w:b/>
              </w:rPr>
              <w:t>Value</w:t>
            </w:r>
          </w:p>
        </w:tc>
        <w:tc>
          <w:tcPr>
            <w:tcW w:w="2430" w:type="dxa"/>
            <w:vAlign w:val="center"/>
          </w:tcPr>
          <w:p w:rsidR="0004211F" w:rsidRPr="0004211F" w:rsidRDefault="0004211F" w:rsidP="0004211F">
            <w:pPr>
              <w:jc w:val="center"/>
              <w:rPr>
                <w:b/>
              </w:rPr>
            </w:pPr>
            <w:r>
              <w:rPr>
                <w:b/>
              </w:rPr>
              <w:t>Units</w:t>
            </w:r>
          </w:p>
        </w:tc>
      </w:tr>
      <w:tr w:rsidR="0004211F" w:rsidTr="00F71A8A">
        <w:tc>
          <w:tcPr>
            <w:tcW w:w="2245" w:type="dxa"/>
            <w:vAlign w:val="center"/>
          </w:tcPr>
          <w:p w:rsidR="0004211F" w:rsidRPr="0004211F" w:rsidRDefault="000E32E8" w:rsidP="0004211F">
            <w:pPr>
              <w:rPr>
                <w:rFonts w:ascii="Times New Roman" w:eastAsia="Times New Roman" w:hAnsi="Times New Roman" w:cs="Times New Roman"/>
                <w:vertAlign w:val="subscript"/>
              </w:rPr>
            </w:pPr>
            <m:oMathPara>
              <m:oMath>
                <m:sSup>
                  <m:sSupPr>
                    <m:ctrlPr>
                      <w:rPr>
                        <w:rFonts w:ascii="Cambria Math" w:eastAsia="Times New Roman" w:hAnsi="Cambria Math" w:cs="Times New Roman"/>
                        <w:i/>
                        <w:vertAlign w:val="subscript"/>
                      </w:rPr>
                    </m:ctrlPr>
                  </m:sSupPr>
                  <m:e>
                    <m:r>
                      <w:rPr>
                        <w:rFonts w:ascii="Cambria Math" w:eastAsia="Times New Roman" w:hAnsi="Cambria Math" w:cs="Times New Roman"/>
                        <w:vertAlign w:val="subscript"/>
                      </w:rPr>
                      <m:t>x</m:t>
                    </m:r>
                  </m:e>
                  <m:sup>
                    <m:r>
                      <w:rPr>
                        <w:rFonts w:ascii="Cambria Math" w:eastAsia="Times New Roman" w:hAnsi="Cambria Math" w:cs="Times New Roman"/>
                        <w:vertAlign w:val="subscript"/>
                      </w:rPr>
                      <m:t>*</m:t>
                    </m:r>
                  </m:sup>
                </m:sSup>
              </m:oMath>
            </m:oMathPara>
            <w:bookmarkStart w:id="0" w:name="_GoBack"/>
            <w:bookmarkEnd w:id="0"/>
          </w:p>
        </w:tc>
        <w:tc>
          <w:tcPr>
            <w:tcW w:w="4770" w:type="dxa"/>
            <w:vAlign w:val="center"/>
          </w:tcPr>
          <w:p w:rsidR="0004211F" w:rsidRPr="00F71A8A" w:rsidRDefault="0004211F" w:rsidP="00F71A8A">
            <w:pPr>
              <w:ind w:left="360"/>
              <w:rPr>
                <w:b/>
                <w:color w:val="4472C4" w:themeColor="accent5"/>
              </w:rPr>
            </w:pPr>
          </w:p>
        </w:tc>
        <w:tc>
          <w:tcPr>
            <w:tcW w:w="2430" w:type="dxa"/>
            <w:vAlign w:val="center"/>
          </w:tcPr>
          <w:p w:rsidR="0004211F" w:rsidRPr="00F71A8A" w:rsidRDefault="0004211F" w:rsidP="00F71A8A">
            <w:pPr>
              <w:jc w:val="center"/>
              <w:rPr>
                <w:color w:val="4472C4" w:themeColor="accent5"/>
              </w:rPr>
            </w:pPr>
          </w:p>
        </w:tc>
      </w:tr>
      <w:tr w:rsidR="00A57F7B" w:rsidTr="00F71A8A">
        <w:tc>
          <w:tcPr>
            <w:tcW w:w="2245" w:type="dxa"/>
            <w:vAlign w:val="center"/>
          </w:tcPr>
          <w:p w:rsidR="00A57F7B" w:rsidRPr="00A57F7B" w:rsidRDefault="00A57F7B" w:rsidP="00A57F7B">
            <w:pPr>
              <w:jc w:val="center"/>
              <w:rPr>
                <w:rFonts w:ascii="Times New Roman" w:eastAsia="Times New Roman" w:hAnsi="Times New Roman" w:cs="Times New Roman"/>
              </w:rPr>
            </w:pPr>
            <w:r w:rsidRPr="00A57F7B">
              <w:rPr>
                <w:rFonts w:ascii="Times New Roman" w:eastAsia="Times New Roman" w:hAnsi="Times New Roman" w:cs="Times New Roman"/>
              </w:rPr>
              <w:t xml:space="preserve">Concentration at </w:t>
            </w:r>
            <m:oMath>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m:t>
                  </m:r>
                </m:sup>
              </m:sSup>
            </m:oMath>
          </w:p>
        </w:tc>
        <w:tc>
          <w:tcPr>
            <w:tcW w:w="4770" w:type="dxa"/>
            <w:vAlign w:val="center"/>
          </w:tcPr>
          <w:p w:rsidR="00A57F7B" w:rsidRPr="00F71A8A" w:rsidRDefault="00A57F7B" w:rsidP="00F71A8A">
            <w:pPr>
              <w:ind w:left="360"/>
              <w:rPr>
                <w:b/>
                <w:color w:val="4472C4" w:themeColor="accent5"/>
              </w:rPr>
            </w:pPr>
          </w:p>
        </w:tc>
        <w:tc>
          <w:tcPr>
            <w:tcW w:w="2430" w:type="dxa"/>
            <w:vAlign w:val="center"/>
          </w:tcPr>
          <w:p w:rsidR="00A57F7B" w:rsidRPr="00F71A8A" w:rsidRDefault="00A57F7B" w:rsidP="00F71A8A">
            <w:pPr>
              <w:jc w:val="center"/>
              <w:rPr>
                <w:color w:val="4472C4" w:themeColor="accent5"/>
              </w:rPr>
            </w:pPr>
          </w:p>
        </w:tc>
      </w:tr>
      <w:tr w:rsidR="0004211F" w:rsidTr="00F71A8A">
        <w:tc>
          <w:tcPr>
            <w:tcW w:w="2245" w:type="dxa"/>
            <w:vAlign w:val="center"/>
          </w:tcPr>
          <w:p w:rsidR="0004211F" w:rsidRPr="0004211F" w:rsidRDefault="0004211F" w:rsidP="0004211F">
            <w:pPr>
              <w:jc w:val="center"/>
              <w:rPr>
                <w:rFonts w:ascii="Courier New" w:eastAsia="Times New Roman" w:hAnsi="Courier New" w:cs="Courier New"/>
              </w:rPr>
            </w:pPr>
            <w:r w:rsidRPr="0004211F">
              <w:rPr>
                <w:rFonts w:ascii="Courier New" w:eastAsia="Times New Roman" w:hAnsi="Courier New" w:cs="Courier New"/>
              </w:rPr>
              <w:t>minn</w:t>
            </w:r>
          </w:p>
        </w:tc>
        <w:tc>
          <w:tcPr>
            <w:tcW w:w="4770" w:type="dxa"/>
            <w:vAlign w:val="center"/>
          </w:tcPr>
          <w:p w:rsidR="0004211F" w:rsidRPr="00F71A8A" w:rsidRDefault="0004211F" w:rsidP="00F71A8A">
            <w:pPr>
              <w:jc w:val="center"/>
              <w:rPr>
                <w:b/>
                <w:color w:val="4472C4" w:themeColor="accent5"/>
              </w:rPr>
            </w:pPr>
          </w:p>
        </w:tc>
        <w:tc>
          <w:tcPr>
            <w:tcW w:w="2430" w:type="dxa"/>
            <w:vAlign w:val="center"/>
          </w:tcPr>
          <w:p w:rsidR="0004211F" w:rsidRPr="00F71A8A" w:rsidRDefault="0004211F" w:rsidP="00F71A8A">
            <w:pPr>
              <w:jc w:val="center"/>
              <w:rPr>
                <w:b/>
                <w:color w:val="4472C4" w:themeColor="accent5"/>
              </w:rPr>
            </w:pPr>
          </w:p>
        </w:tc>
      </w:tr>
    </w:tbl>
    <w:p w:rsidR="004F0BD3" w:rsidRDefault="004F0BD3" w:rsidP="004F0BD3">
      <w:pPr>
        <w:rPr>
          <w:b/>
        </w:rPr>
      </w:pPr>
    </w:p>
    <w:p w:rsidR="0004211F" w:rsidRDefault="00B662EC" w:rsidP="004F0BD3">
      <w:pPr>
        <w:rPr>
          <w:i/>
        </w:rPr>
      </w:pPr>
      <w:r>
        <w:rPr>
          <w:i/>
        </w:rPr>
        <w:t>Given the results reported above</w:t>
      </w:r>
      <w:r w:rsidR="0004211F" w:rsidRPr="0004211F">
        <w:rPr>
          <w:i/>
        </w:rPr>
        <w:t>, is the average adult citizen of Nowhere likely to accumulate a lethal dose of methyl mercury by eating one fish a day?</w:t>
      </w:r>
      <w:r>
        <w:rPr>
          <w:i/>
        </w:rPr>
        <w:t xml:space="preserve"> Explain.</w:t>
      </w:r>
    </w:p>
    <w:p w:rsidR="00B662EC" w:rsidRDefault="00B662EC" w:rsidP="00B662EC">
      <w:pPr>
        <w:pBdr>
          <w:top w:val="single" w:sz="4" w:space="1" w:color="auto"/>
          <w:left w:val="single" w:sz="4" w:space="4" w:color="auto"/>
          <w:bottom w:val="single" w:sz="4" w:space="1" w:color="auto"/>
          <w:right w:val="single" w:sz="4" w:space="4" w:color="auto"/>
        </w:pBdr>
      </w:pPr>
    </w:p>
    <w:p w:rsidR="00A4384F" w:rsidRDefault="00A4384F" w:rsidP="00B662EC">
      <w:pPr>
        <w:pBdr>
          <w:top w:val="single" w:sz="4" w:space="1" w:color="auto"/>
          <w:left w:val="single" w:sz="4" w:space="4" w:color="auto"/>
          <w:bottom w:val="single" w:sz="4" w:space="1" w:color="auto"/>
          <w:right w:val="single" w:sz="4" w:space="4" w:color="auto"/>
        </w:pBdr>
      </w:pPr>
    </w:p>
    <w:p w:rsidR="00B662EC" w:rsidRDefault="00B662EC" w:rsidP="00B662EC">
      <w:pPr>
        <w:rPr>
          <w:i/>
        </w:rPr>
      </w:pPr>
    </w:p>
    <w:p w:rsidR="00B662EC" w:rsidRPr="00B662EC" w:rsidRDefault="00B662EC" w:rsidP="00B662EC">
      <w:pPr>
        <w:rPr>
          <w:i/>
        </w:rPr>
      </w:pPr>
      <w:r w:rsidRPr="00B662EC">
        <w:rPr>
          <w:i/>
        </w:rPr>
        <w:t xml:space="preserve">Given the results reported above, is the average </w:t>
      </w:r>
      <w:r>
        <w:rPr>
          <w:i/>
        </w:rPr>
        <w:t>pregnant women in the town</w:t>
      </w:r>
      <w:r w:rsidRPr="00B662EC">
        <w:rPr>
          <w:i/>
        </w:rPr>
        <w:t xml:space="preserve"> of Nowhere likely to </w:t>
      </w:r>
      <w:r>
        <w:rPr>
          <w:i/>
        </w:rPr>
        <w:t>have fetal methyl mercury poisoning</w:t>
      </w:r>
      <w:r w:rsidRPr="00B662EC">
        <w:rPr>
          <w:i/>
        </w:rPr>
        <w:t xml:space="preserve"> by eating one fish a day?</w:t>
      </w:r>
      <w:r>
        <w:rPr>
          <w:i/>
        </w:rPr>
        <w:t xml:space="preserve"> You may assume the average mass of a pregnant woman is 70 kg. </w:t>
      </w:r>
      <w:r w:rsidRPr="00B662EC">
        <w:rPr>
          <w:i/>
        </w:rPr>
        <w:t xml:space="preserve"> Explain.</w:t>
      </w:r>
    </w:p>
    <w:p w:rsidR="00B662EC" w:rsidRPr="00F71A8A" w:rsidRDefault="00B662EC" w:rsidP="00B662EC">
      <w:pPr>
        <w:pBdr>
          <w:top w:val="single" w:sz="4" w:space="1" w:color="auto"/>
          <w:left w:val="single" w:sz="4" w:space="4" w:color="auto"/>
          <w:bottom w:val="single" w:sz="4" w:space="1" w:color="auto"/>
          <w:right w:val="single" w:sz="4" w:space="4" w:color="auto"/>
        </w:pBdr>
        <w:rPr>
          <w:color w:val="4472C4" w:themeColor="accent5"/>
        </w:rPr>
      </w:pPr>
    </w:p>
    <w:p w:rsidR="00B662EC" w:rsidRPr="00B662EC" w:rsidRDefault="00B662EC" w:rsidP="00B662EC">
      <w:pPr>
        <w:pBdr>
          <w:top w:val="single" w:sz="4" w:space="1" w:color="auto"/>
          <w:left w:val="single" w:sz="4" w:space="4" w:color="auto"/>
          <w:bottom w:val="single" w:sz="4" w:space="1" w:color="auto"/>
          <w:right w:val="single" w:sz="4" w:space="4" w:color="auto"/>
        </w:pBdr>
      </w:pPr>
    </w:p>
    <w:p w:rsidR="00B662EC" w:rsidRDefault="00B662EC">
      <w:pPr>
        <w:rPr>
          <w:i/>
        </w:rPr>
      </w:pPr>
      <w:r>
        <w:rPr>
          <w:i/>
        </w:rPr>
        <w:br w:type="page"/>
      </w:r>
    </w:p>
    <w:p w:rsidR="0004211F" w:rsidRDefault="0004211F" w:rsidP="004F0BD3">
      <w:pPr>
        <w:rPr>
          <w:i/>
        </w:rPr>
      </w:pPr>
      <w:r>
        <w:rPr>
          <w:i/>
        </w:rPr>
        <w:lastRenderedPageBreak/>
        <w:t>How many fish does an average adult in the town of Nowhere need to eat each day so that the accumulated amount of methyl mercury in the body eventually exceeds 30 mg/kg?</w:t>
      </w:r>
    </w:p>
    <w:p w:rsidR="00B662EC" w:rsidRPr="003515A2" w:rsidRDefault="003515A2" w:rsidP="00B662EC">
      <w:pPr>
        <w:pBdr>
          <w:top w:val="single" w:sz="4" w:space="1" w:color="auto"/>
          <w:left w:val="single" w:sz="4" w:space="4" w:color="auto"/>
          <w:bottom w:val="single" w:sz="4" w:space="1" w:color="auto"/>
          <w:right w:val="single" w:sz="4" w:space="4" w:color="auto"/>
        </w:pBdr>
        <w:rPr>
          <w:rFonts w:eastAsiaTheme="minorEastAsia"/>
          <w:color w:val="4472C4" w:themeColor="accent5"/>
        </w:rPr>
      </w:pPr>
      <w:r w:rsidRPr="003515A2">
        <w:rPr>
          <w:rFonts w:eastAsiaTheme="minorEastAsia"/>
          <w:color w:val="4472C4" w:themeColor="accent5"/>
        </w:rPr>
        <w:br/>
      </w:r>
    </w:p>
    <w:p w:rsidR="00B662EC" w:rsidRDefault="00B662EC" w:rsidP="00B662EC">
      <w:pPr>
        <w:rPr>
          <w:i/>
        </w:rPr>
      </w:pPr>
    </w:p>
    <w:p w:rsidR="00B662EC" w:rsidRDefault="00B662EC" w:rsidP="00B662EC">
      <w:pPr>
        <w:rPr>
          <w:i/>
        </w:rPr>
      </w:pPr>
      <w:r w:rsidRPr="00B662EC">
        <w:rPr>
          <w:i/>
        </w:rPr>
        <w:t xml:space="preserve">How </w:t>
      </w:r>
      <w:r>
        <w:rPr>
          <w:i/>
        </w:rPr>
        <w:t>often should a pregnant woman in the town of Nowhere consume largemouth bass</w:t>
      </w:r>
      <w:r w:rsidRPr="00B662EC">
        <w:rPr>
          <w:i/>
        </w:rPr>
        <w:t>?</w:t>
      </w:r>
    </w:p>
    <w:p w:rsidR="00B662EC" w:rsidRPr="003515A2" w:rsidRDefault="003515A2" w:rsidP="00B662EC">
      <w:pPr>
        <w:pBdr>
          <w:top w:val="single" w:sz="4" w:space="1" w:color="auto"/>
          <w:left w:val="single" w:sz="4" w:space="4" w:color="auto"/>
          <w:bottom w:val="single" w:sz="4" w:space="1" w:color="auto"/>
          <w:right w:val="single" w:sz="4" w:space="4" w:color="auto"/>
        </w:pBdr>
        <w:rPr>
          <w:rFonts w:eastAsiaTheme="minorEastAsia"/>
          <w:color w:val="4472C4" w:themeColor="accent5"/>
        </w:rPr>
      </w:pPr>
      <w:r w:rsidRPr="003515A2">
        <w:rPr>
          <w:rFonts w:eastAsiaTheme="minorEastAsia"/>
          <w:color w:val="4472C4" w:themeColor="accent5"/>
        </w:rPr>
        <w:br/>
      </w:r>
    </w:p>
    <w:p w:rsidR="00B662EC" w:rsidRDefault="00B662EC" w:rsidP="00B662EC">
      <w:pPr>
        <w:rPr>
          <w:i/>
        </w:rPr>
      </w:pPr>
    </w:p>
    <w:p w:rsidR="00B662EC" w:rsidRDefault="00B662EC" w:rsidP="00B662EC">
      <w:pPr>
        <w:rPr>
          <w:i/>
        </w:rPr>
      </w:pPr>
      <w:r>
        <w:rPr>
          <w:i/>
        </w:rPr>
        <w:t>Write 1-2 sentences giving your official recommendation to the citizens of Nowhere on eating largemouth bass.</w:t>
      </w:r>
      <w:r w:rsidR="00934259">
        <w:rPr>
          <w:i/>
        </w:rPr>
        <w:t xml:space="preserve"> Your recommendation should take into account </w:t>
      </w:r>
      <w:r w:rsidR="00934259" w:rsidRPr="00934259">
        <w:rPr>
          <w:i/>
          <w:u w:val="single"/>
        </w:rPr>
        <w:t>all</w:t>
      </w:r>
      <w:r w:rsidR="00934259">
        <w:rPr>
          <w:i/>
        </w:rPr>
        <w:t xml:space="preserve"> the results from your analysis.</w:t>
      </w:r>
    </w:p>
    <w:p w:rsidR="00A4384F" w:rsidRDefault="00A4384F" w:rsidP="00B662EC">
      <w:pPr>
        <w:pBdr>
          <w:top w:val="single" w:sz="4" w:space="1" w:color="auto"/>
          <w:left w:val="single" w:sz="4" w:space="4" w:color="auto"/>
          <w:bottom w:val="single" w:sz="4" w:space="1" w:color="auto"/>
          <w:right w:val="single" w:sz="4" w:space="4" w:color="auto"/>
        </w:pBdr>
      </w:pPr>
    </w:p>
    <w:p w:rsidR="00B662EC" w:rsidRPr="00B662EC" w:rsidRDefault="00B662EC" w:rsidP="00B662EC">
      <w:pPr>
        <w:pBdr>
          <w:top w:val="single" w:sz="4" w:space="1" w:color="auto"/>
          <w:left w:val="single" w:sz="4" w:space="4" w:color="auto"/>
          <w:bottom w:val="single" w:sz="4" w:space="1" w:color="auto"/>
          <w:right w:val="single" w:sz="4" w:space="4" w:color="auto"/>
        </w:pBdr>
        <w:rPr>
          <w:i/>
        </w:rPr>
      </w:pPr>
      <w:r>
        <w:rPr>
          <w:i/>
        </w:rPr>
        <w:t xml:space="preserve"> </w:t>
      </w:r>
    </w:p>
    <w:p w:rsidR="00B662EC" w:rsidRPr="00B662EC" w:rsidRDefault="00B662EC" w:rsidP="00B662EC">
      <w:pPr>
        <w:rPr>
          <w:b/>
        </w:rPr>
      </w:pPr>
    </w:p>
    <w:p w:rsidR="00AC6612" w:rsidRPr="00AC6612" w:rsidRDefault="00AC6612" w:rsidP="004F0BD3">
      <w:pPr>
        <w:rPr>
          <w:i/>
        </w:rPr>
      </w:pPr>
      <w:r>
        <w:rPr>
          <w:i/>
        </w:rPr>
        <w:t>Insert</w:t>
      </w:r>
      <w:r w:rsidR="00D64B45">
        <w:rPr>
          <w:i/>
        </w:rPr>
        <w:t xml:space="preserve"> the</w:t>
      </w:r>
      <w:r>
        <w:rPr>
          <w:i/>
        </w:rPr>
        <w:t xml:space="preserve"> graph generated from your script file. </w:t>
      </w:r>
    </w:p>
    <w:sectPr w:rsidR="00AC6612" w:rsidRPr="00AC6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E8" w:rsidRDefault="000E32E8" w:rsidP="00AC6612">
      <w:pPr>
        <w:spacing w:after="0" w:line="240" w:lineRule="auto"/>
      </w:pPr>
      <w:r>
        <w:separator/>
      </w:r>
    </w:p>
  </w:endnote>
  <w:endnote w:type="continuationSeparator" w:id="0">
    <w:p w:rsidR="000E32E8" w:rsidRDefault="000E32E8" w:rsidP="00AC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E8" w:rsidRDefault="000E32E8" w:rsidP="00AC6612">
      <w:pPr>
        <w:spacing w:after="0" w:line="240" w:lineRule="auto"/>
      </w:pPr>
      <w:r>
        <w:separator/>
      </w:r>
    </w:p>
  </w:footnote>
  <w:footnote w:type="continuationSeparator" w:id="0">
    <w:p w:rsidR="000E32E8" w:rsidRDefault="000E32E8" w:rsidP="00AC6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5614"/>
    <w:multiLevelType w:val="hybridMultilevel"/>
    <w:tmpl w:val="850C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C03CD"/>
    <w:multiLevelType w:val="hybridMultilevel"/>
    <w:tmpl w:val="DBEE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D3"/>
    <w:rsid w:val="000247AF"/>
    <w:rsid w:val="0004211F"/>
    <w:rsid w:val="000E32E8"/>
    <w:rsid w:val="002C3CA4"/>
    <w:rsid w:val="003515A2"/>
    <w:rsid w:val="003B58CA"/>
    <w:rsid w:val="004B5B96"/>
    <w:rsid w:val="004F0BD3"/>
    <w:rsid w:val="00811211"/>
    <w:rsid w:val="00820E94"/>
    <w:rsid w:val="00934259"/>
    <w:rsid w:val="009D5408"/>
    <w:rsid w:val="00A4384F"/>
    <w:rsid w:val="00A57F7B"/>
    <w:rsid w:val="00AC6612"/>
    <w:rsid w:val="00B662EC"/>
    <w:rsid w:val="00BB198E"/>
    <w:rsid w:val="00D64B45"/>
    <w:rsid w:val="00F7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E25D"/>
  <w15:chartTrackingRefBased/>
  <w15:docId w15:val="{55CA9B05-1A5F-4833-8AE2-38ABC69A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B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BD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12"/>
  </w:style>
  <w:style w:type="paragraph" w:styleId="Footer">
    <w:name w:val="footer"/>
    <w:basedOn w:val="Normal"/>
    <w:link w:val="FooterChar"/>
    <w:uiPriority w:val="99"/>
    <w:unhideWhenUsed/>
    <w:rsid w:val="00AC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12"/>
  </w:style>
  <w:style w:type="character" w:styleId="PlaceholderText">
    <w:name w:val="Placeholder Text"/>
    <w:basedOn w:val="DefaultParagraphFont"/>
    <w:uiPriority w:val="99"/>
    <w:semiHidden/>
    <w:rsid w:val="0004211F"/>
    <w:rPr>
      <w:color w:val="808080"/>
    </w:rPr>
  </w:style>
  <w:style w:type="character" w:styleId="IntenseEmphasis">
    <w:name w:val="Intense Emphasis"/>
    <w:basedOn w:val="DefaultParagraphFont"/>
    <w:uiPriority w:val="21"/>
    <w:qFormat/>
    <w:rsid w:val="0004211F"/>
    <w:rPr>
      <w:i/>
      <w:iCs/>
      <w:color w:val="5B9BD5" w:themeColor="accent1"/>
    </w:rPr>
  </w:style>
  <w:style w:type="paragraph" w:styleId="ListParagraph">
    <w:name w:val="List Paragraph"/>
    <w:basedOn w:val="Normal"/>
    <w:uiPriority w:val="34"/>
    <w:qFormat/>
    <w:rsid w:val="00F7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8872-068C-4EF9-812E-B50435E1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Bodine_Erin</dc:creator>
  <cp:keywords/>
  <dc:description/>
  <cp:lastModifiedBy>Bodine_Erin</cp:lastModifiedBy>
  <cp:revision>9</cp:revision>
  <dcterms:created xsi:type="dcterms:W3CDTF">2018-01-02T20:55:00Z</dcterms:created>
  <dcterms:modified xsi:type="dcterms:W3CDTF">2018-10-08T20:31:00Z</dcterms:modified>
</cp:coreProperties>
</file>