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7B5" w:rsidRPr="00A207B5" w:rsidRDefault="00832ECB" w:rsidP="00A207B5">
      <w:pPr>
        <w:pStyle w:val="Title"/>
      </w:pPr>
      <w:r>
        <w:t>Diversity Indices: Shannon’s H and E</w:t>
      </w:r>
    </w:p>
    <w:p w:rsidR="00A207B5" w:rsidRDefault="00A207B5" w:rsidP="00283F45">
      <w:pPr>
        <w:pStyle w:val="Heading1"/>
      </w:pPr>
      <w:r w:rsidRPr="00283F45">
        <w:t>Introduction</w:t>
      </w:r>
    </w:p>
    <w:p w:rsidR="008E6A8B" w:rsidRPr="00682591" w:rsidRDefault="00682591" w:rsidP="008E6A8B">
      <w:pPr>
        <w:rPr>
          <w:color w:val="auto"/>
          <w:sz w:val="24"/>
          <w:szCs w:val="24"/>
          <w:lang w:eastAsia="zh-CN"/>
        </w:rPr>
      </w:pPr>
      <w:r w:rsidRPr="00682591">
        <w:rPr>
          <w:shd w:val="clear" w:color="auto" w:fill="FFFFFF"/>
          <w:lang w:eastAsia="zh-CN"/>
        </w:rPr>
        <w:t>A diversity index is a mathematical measure of species diversity in a community. Diversity indices provide more information about community composition than simply species richness (i.e., the number of species present); they also take the relative abundances of different species into account (for an illustration of this point, see</w:t>
      </w:r>
      <w:r>
        <w:rPr>
          <w:shd w:val="clear" w:color="auto" w:fill="FFFFFF"/>
          <w:lang w:eastAsia="zh-CN"/>
        </w:rPr>
        <w:t xml:space="preserve"> </w:t>
      </w:r>
      <w:r w:rsidRPr="00A75942">
        <w:t>below</w:t>
      </w:r>
      <w:r w:rsidRPr="00682591">
        <w:rPr>
          <w:shd w:val="clear" w:color="auto" w:fill="FFFFFF"/>
          <w:lang w:eastAsia="zh-CN"/>
        </w:rPr>
        <w:t>, or introduction to</w:t>
      </w:r>
      <w:r>
        <w:rPr>
          <w:shd w:val="clear" w:color="auto" w:fill="FFFFFF"/>
          <w:lang w:eastAsia="zh-CN"/>
        </w:rPr>
        <w:t xml:space="preserve"> </w:t>
      </w:r>
      <w:hyperlink r:id="rId6" w:history="1">
        <w:r w:rsidRPr="00682591">
          <w:rPr>
            <w:color w:val="0000FF"/>
            <w:u w:val="single"/>
            <w:shd w:val="clear" w:color="auto" w:fill="FFFFFF"/>
            <w:lang w:eastAsia="zh-CN"/>
          </w:rPr>
          <w:t>SIMPSON'S</w:t>
        </w:r>
        <w:r>
          <w:rPr>
            <w:color w:val="0000FF"/>
            <w:u w:val="single"/>
            <w:shd w:val="clear" w:color="auto" w:fill="FFFFFF"/>
            <w:lang w:eastAsia="zh-CN"/>
          </w:rPr>
          <w:t xml:space="preserve"> </w:t>
        </w:r>
        <w:r w:rsidRPr="00682591">
          <w:rPr>
            <w:i/>
            <w:iCs/>
            <w:color w:val="0000FF"/>
            <w:u w:val="single"/>
            <w:shd w:val="clear" w:color="auto" w:fill="FFFFFF"/>
            <w:lang w:eastAsia="zh-CN"/>
          </w:rPr>
          <w:t>D</w:t>
        </w:r>
        <w:r>
          <w:rPr>
            <w:color w:val="0000FF"/>
            <w:u w:val="single"/>
            <w:shd w:val="clear" w:color="auto" w:fill="FFFFFF"/>
            <w:lang w:eastAsia="zh-CN"/>
          </w:rPr>
          <w:t xml:space="preserve"> </w:t>
        </w:r>
        <w:r w:rsidRPr="00682591">
          <w:rPr>
            <w:color w:val="0000FF"/>
            <w:u w:val="single"/>
            <w:shd w:val="clear" w:color="auto" w:fill="FFFFFF"/>
            <w:lang w:eastAsia="zh-CN"/>
          </w:rPr>
          <w:t>AND</w:t>
        </w:r>
        <w:r>
          <w:rPr>
            <w:color w:val="0000FF"/>
            <w:u w:val="single"/>
            <w:shd w:val="clear" w:color="auto" w:fill="FFFFFF"/>
            <w:lang w:eastAsia="zh-CN"/>
          </w:rPr>
          <w:t xml:space="preserve"> </w:t>
        </w:r>
        <w:r w:rsidRPr="00682591">
          <w:rPr>
            <w:i/>
            <w:iCs/>
            <w:color w:val="0000FF"/>
            <w:u w:val="single"/>
            <w:shd w:val="clear" w:color="auto" w:fill="FFFFFF"/>
            <w:lang w:eastAsia="zh-CN"/>
          </w:rPr>
          <w:t>E</w:t>
        </w:r>
      </w:hyperlink>
      <w:r w:rsidRPr="00682591">
        <w:rPr>
          <w:shd w:val="clear" w:color="auto" w:fill="FFFFFF"/>
          <w:lang w:eastAsia="zh-CN"/>
        </w:rPr>
        <w:t>).</w:t>
      </w:r>
    </w:p>
    <w:p w:rsidR="00283F45" w:rsidRDefault="00283F45" w:rsidP="00283F45">
      <w:pPr>
        <w:pStyle w:val="Heading1"/>
      </w:pPr>
      <w:r w:rsidRPr="00283F45">
        <w:t>Importance</w:t>
      </w:r>
    </w:p>
    <w:p w:rsidR="008E6A8B" w:rsidRPr="008E6A8B" w:rsidRDefault="00897C1E" w:rsidP="008E6A8B">
      <w:r w:rsidRPr="00897C1E">
        <w:t>Diversity indices provide important information about rarity and commonness of species in a community. The ability to quantify diversity in this way is an important tool for biologists trying to understand community structure.</w:t>
      </w:r>
    </w:p>
    <w:p w:rsidR="00283F45" w:rsidRDefault="00283F45" w:rsidP="00283F45">
      <w:pPr>
        <w:pStyle w:val="Heading1"/>
      </w:pPr>
      <w:r>
        <w:t>Questions</w:t>
      </w:r>
    </w:p>
    <w:p w:rsidR="008E6A8B" w:rsidRPr="008E6A8B" w:rsidRDefault="008671FD" w:rsidP="008E6A8B">
      <w:r w:rsidRPr="008671FD">
        <w:t>How do we measure diversity?</w:t>
      </w:r>
    </w:p>
    <w:p w:rsidR="00283F45" w:rsidRDefault="00283F45" w:rsidP="00283F45">
      <w:pPr>
        <w:pStyle w:val="Heading1"/>
      </w:pPr>
      <w:r>
        <w:t>Variables</w:t>
      </w:r>
    </w:p>
    <w:tbl>
      <w:tblPr>
        <w:tblW w:w="42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528"/>
        <w:gridCol w:w="3672"/>
      </w:tblGrid>
      <w:tr w:rsidR="00310EB7" w:rsidRPr="00310EB7" w:rsidTr="00310EB7">
        <w:trPr>
          <w:tblCellSpacing w:w="15" w:type="dxa"/>
        </w:trPr>
        <w:tc>
          <w:tcPr>
            <w:tcW w:w="500" w:type="pct"/>
            <w:shd w:val="clear" w:color="auto" w:fill="FFFFFF"/>
            <w:hideMark/>
          </w:tcPr>
          <w:p w:rsidR="00310EB7" w:rsidRPr="00310EB7" w:rsidRDefault="00310EB7" w:rsidP="00310EB7">
            <w:pPr>
              <w:pStyle w:val="TableContent"/>
              <w:rPr>
                <w:lang w:eastAsia="zh-CN"/>
              </w:rPr>
            </w:pPr>
            <w:r w:rsidRPr="00310EB7">
              <w:rPr>
                <w:lang w:eastAsia="zh-CN"/>
              </w:rPr>
              <w:t>H</w:t>
            </w:r>
          </w:p>
        </w:tc>
        <w:tc>
          <w:tcPr>
            <w:tcW w:w="4500" w:type="pct"/>
            <w:shd w:val="clear" w:color="auto" w:fill="FFFFFF"/>
            <w:hideMark/>
          </w:tcPr>
          <w:p w:rsidR="00310EB7" w:rsidRPr="00310EB7" w:rsidRDefault="00310EB7" w:rsidP="00310EB7">
            <w:pPr>
              <w:pStyle w:val="TableContent"/>
              <w:rPr>
                <w:lang w:eastAsia="zh-CN"/>
              </w:rPr>
            </w:pPr>
            <w:r w:rsidRPr="00310EB7">
              <w:rPr>
                <w:lang w:eastAsia="zh-CN"/>
              </w:rPr>
              <w:t>Shannon's diversity index</w:t>
            </w:r>
          </w:p>
        </w:tc>
      </w:tr>
      <w:tr w:rsidR="00310EB7" w:rsidRPr="00310EB7" w:rsidTr="00310EB7">
        <w:trPr>
          <w:tblCellSpacing w:w="15" w:type="dxa"/>
        </w:trPr>
        <w:tc>
          <w:tcPr>
            <w:tcW w:w="500" w:type="pct"/>
            <w:shd w:val="clear" w:color="auto" w:fill="FFFFFF"/>
            <w:hideMark/>
          </w:tcPr>
          <w:p w:rsidR="00310EB7" w:rsidRPr="00310EB7" w:rsidRDefault="00310EB7" w:rsidP="00310EB7">
            <w:pPr>
              <w:pStyle w:val="TableContent"/>
              <w:rPr>
                <w:lang w:eastAsia="zh-CN"/>
              </w:rPr>
            </w:pPr>
            <w:r w:rsidRPr="00310EB7">
              <w:rPr>
                <w:lang w:eastAsia="zh-CN"/>
              </w:rPr>
              <w:t>S</w:t>
            </w:r>
          </w:p>
        </w:tc>
        <w:tc>
          <w:tcPr>
            <w:tcW w:w="4500" w:type="pct"/>
            <w:shd w:val="clear" w:color="auto" w:fill="FFFFFF"/>
            <w:hideMark/>
          </w:tcPr>
          <w:p w:rsidR="00310EB7" w:rsidRPr="00310EB7" w:rsidRDefault="00310EB7" w:rsidP="00310EB7">
            <w:pPr>
              <w:pStyle w:val="TableContent"/>
              <w:rPr>
                <w:lang w:eastAsia="zh-CN"/>
              </w:rPr>
            </w:pPr>
            <w:r w:rsidRPr="00310EB7">
              <w:rPr>
                <w:lang w:eastAsia="zh-CN"/>
              </w:rPr>
              <w:t>total number of species in the community (richness)</w:t>
            </w:r>
          </w:p>
        </w:tc>
      </w:tr>
      <w:tr w:rsidR="00310EB7" w:rsidRPr="00310EB7" w:rsidTr="00310EB7">
        <w:trPr>
          <w:tblCellSpacing w:w="15" w:type="dxa"/>
        </w:trPr>
        <w:tc>
          <w:tcPr>
            <w:tcW w:w="500" w:type="pct"/>
            <w:shd w:val="clear" w:color="auto" w:fill="FFFFFF"/>
            <w:hideMark/>
          </w:tcPr>
          <w:p w:rsidR="00310EB7" w:rsidRPr="00310EB7" w:rsidRDefault="00310EB7" w:rsidP="00310EB7">
            <w:pPr>
              <w:pStyle w:val="TableContent"/>
              <w:rPr>
                <w:lang w:eastAsia="zh-CN"/>
              </w:rPr>
            </w:pPr>
            <w:r w:rsidRPr="00310EB7">
              <w:rPr>
                <w:lang w:eastAsia="zh-CN"/>
              </w:rPr>
              <w:t>p</w:t>
            </w:r>
            <w:r w:rsidRPr="00310EB7">
              <w:rPr>
                <w:vertAlign w:val="subscript"/>
                <w:lang w:eastAsia="zh-CN"/>
              </w:rPr>
              <w:t>i</w:t>
            </w:r>
          </w:p>
        </w:tc>
        <w:tc>
          <w:tcPr>
            <w:tcW w:w="4500" w:type="pct"/>
            <w:shd w:val="clear" w:color="auto" w:fill="FFFFFF"/>
            <w:hideMark/>
          </w:tcPr>
          <w:p w:rsidR="00310EB7" w:rsidRPr="00310EB7" w:rsidRDefault="00310EB7" w:rsidP="00310EB7">
            <w:pPr>
              <w:pStyle w:val="TableContent"/>
              <w:rPr>
                <w:lang w:eastAsia="zh-CN"/>
              </w:rPr>
            </w:pPr>
            <w:r w:rsidRPr="00310EB7">
              <w:rPr>
                <w:lang w:eastAsia="zh-CN"/>
              </w:rPr>
              <w:t>proportion of</w:t>
            </w:r>
            <w:r w:rsidR="00FE54D1">
              <w:rPr>
                <w:lang w:eastAsia="zh-CN"/>
              </w:rPr>
              <w:t xml:space="preserve"> </w:t>
            </w:r>
            <w:r w:rsidRPr="00310EB7">
              <w:rPr>
                <w:i/>
                <w:iCs/>
                <w:lang w:eastAsia="zh-CN"/>
              </w:rPr>
              <w:t>S</w:t>
            </w:r>
            <w:r w:rsidR="00FE54D1">
              <w:rPr>
                <w:i/>
                <w:iCs/>
                <w:lang w:eastAsia="zh-CN"/>
              </w:rPr>
              <w:t xml:space="preserve"> </w:t>
            </w:r>
            <w:r w:rsidRPr="00310EB7">
              <w:rPr>
                <w:lang w:eastAsia="zh-CN"/>
              </w:rPr>
              <w:t>made up of the</w:t>
            </w:r>
            <w:r w:rsidR="00FE54D1">
              <w:rPr>
                <w:lang w:eastAsia="zh-CN"/>
              </w:rPr>
              <w:t xml:space="preserve"> </w:t>
            </w:r>
            <w:r w:rsidRPr="00310EB7">
              <w:rPr>
                <w:i/>
                <w:iCs/>
                <w:lang w:eastAsia="zh-CN"/>
              </w:rPr>
              <w:t>i</w:t>
            </w:r>
            <w:r w:rsidRPr="00310EB7">
              <w:rPr>
                <w:lang w:eastAsia="zh-CN"/>
              </w:rPr>
              <w:t>th species</w:t>
            </w:r>
          </w:p>
        </w:tc>
      </w:tr>
      <w:tr w:rsidR="00310EB7" w:rsidRPr="00310EB7" w:rsidTr="00310EB7">
        <w:trPr>
          <w:tblCellSpacing w:w="15" w:type="dxa"/>
        </w:trPr>
        <w:tc>
          <w:tcPr>
            <w:tcW w:w="500" w:type="pct"/>
            <w:shd w:val="clear" w:color="auto" w:fill="FFFFFF"/>
            <w:hideMark/>
          </w:tcPr>
          <w:p w:rsidR="00310EB7" w:rsidRPr="00310EB7" w:rsidRDefault="00310EB7" w:rsidP="00310EB7">
            <w:pPr>
              <w:pStyle w:val="TableContent"/>
              <w:rPr>
                <w:lang w:eastAsia="zh-CN"/>
              </w:rPr>
            </w:pPr>
            <w:r w:rsidRPr="00310EB7">
              <w:rPr>
                <w:lang w:eastAsia="zh-CN"/>
              </w:rPr>
              <w:t>E</w:t>
            </w:r>
            <w:r w:rsidRPr="00310EB7">
              <w:rPr>
                <w:vertAlign w:val="subscript"/>
                <w:lang w:eastAsia="zh-CN"/>
              </w:rPr>
              <w:t>H</w:t>
            </w:r>
          </w:p>
        </w:tc>
        <w:tc>
          <w:tcPr>
            <w:tcW w:w="4500" w:type="pct"/>
            <w:shd w:val="clear" w:color="auto" w:fill="FFFFFF"/>
            <w:hideMark/>
          </w:tcPr>
          <w:p w:rsidR="00310EB7" w:rsidRPr="00310EB7" w:rsidRDefault="00310EB7" w:rsidP="00310EB7">
            <w:pPr>
              <w:pStyle w:val="TableContent"/>
              <w:rPr>
                <w:lang w:eastAsia="zh-CN"/>
              </w:rPr>
            </w:pPr>
            <w:r w:rsidRPr="00310EB7">
              <w:rPr>
                <w:lang w:eastAsia="zh-CN"/>
              </w:rPr>
              <w:t>equitability (evenness)</w:t>
            </w:r>
          </w:p>
        </w:tc>
      </w:tr>
    </w:tbl>
    <w:p w:rsidR="008E6A8B" w:rsidRPr="008E6A8B" w:rsidRDefault="008E6A8B" w:rsidP="008E6A8B"/>
    <w:p w:rsidR="00283F45" w:rsidRDefault="00283F45" w:rsidP="00283F45">
      <w:pPr>
        <w:pStyle w:val="Heading1"/>
      </w:pPr>
      <w:r>
        <w:t>Methods</w:t>
      </w:r>
    </w:p>
    <w:p w:rsidR="00175103" w:rsidRDefault="00175103" w:rsidP="00175103">
      <w:r>
        <w:t>The Shannon diversity index (</w:t>
      </w:r>
      <w:r>
        <w:rPr>
          <w:i/>
          <w:iCs/>
        </w:rPr>
        <w:t>H</w:t>
      </w:r>
      <w:r>
        <w:t>) is another index that is commonly used to characterize species diversity in a community. Like</w:t>
      </w:r>
      <w:r w:rsidR="00981AE8">
        <w:t xml:space="preserve"> </w:t>
      </w:r>
      <w:hyperlink r:id="rId7" w:history="1">
        <w:r>
          <w:rPr>
            <w:rStyle w:val="Hyperlink"/>
            <w:rFonts w:ascii="Times" w:hAnsi="Times"/>
          </w:rPr>
          <w:t>Simpson's</w:t>
        </w:r>
      </w:hyperlink>
      <w:r w:rsidR="00981AE8">
        <w:t xml:space="preserve"> </w:t>
      </w:r>
      <w:r>
        <w:t>index, Shannon's index accounts for both abundance and evenness of the species present. The proportion of species</w:t>
      </w:r>
      <w:r w:rsidR="00E53189">
        <w:t xml:space="preserve"> </w:t>
      </w:r>
      <w:r w:rsidR="00E53189">
        <w:rPr>
          <w:i/>
          <w:iCs/>
        </w:rPr>
        <w:t>I</w:t>
      </w:r>
      <w:r w:rsidR="00E53189">
        <w:t xml:space="preserve"> </w:t>
      </w:r>
      <w:r>
        <w:t>relative to the total number of species (</w:t>
      </w:r>
      <w:r>
        <w:rPr>
          <w:i/>
          <w:iCs/>
        </w:rPr>
        <w:t>p</w:t>
      </w:r>
      <w:r>
        <w:rPr>
          <w:i/>
          <w:iCs/>
          <w:vertAlign w:val="subscript"/>
        </w:rPr>
        <w:t>i</w:t>
      </w:r>
      <w:r>
        <w:t>) is calculated, and then multiplied by the natural logarithm of this proportion (ln</w:t>
      </w:r>
      <w:r>
        <w:rPr>
          <w:i/>
          <w:iCs/>
        </w:rPr>
        <w:t>p</w:t>
      </w:r>
      <w:r>
        <w:rPr>
          <w:i/>
          <w:iCs/>
          <w:vertAlign w:val="subscript"/>
        </w:rPr>
        <w:t>i</w:t>
      </w:r>
      <w:r>
        <w:t>). The resulting product is summed across species, and multiplied by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260F" w:rsidTr="00BA04FD">
        <w:tc>
          <w:tcPr>
            <w:tcW w:w="4675" w:type="dxa"/>
            <w:vAlign w:val="center"/>
          </w:tcPr>
          <w:p w:rsidR="00A1260F" w:rsidRDefault="00A1260F" w:rsidP="00786F24">
            <w:pPr>
              <w:rPr>
                <w:lang w:eastAsia="zh-CN"/>
              </w:rPr>
            </w:pPr>
            <m:oMathPara>
              <m:oMath>
                <m:r>
                  <w:rPr>
                    <w:rFonts w:ascii="Cambria Math" w:hAnsi="Cambria Math"/>
                    <w:lang w:eastAsia="zh-CN"/>
                  </w:rPr>
                  <w:lastRenderedPageBreak/>
                  <m:t>H=-</m:t>
                </m:r>
                <m:nary>
                  <m:naryPr>
                    <m:chr m:val="∑"/>
                    <m:limLoc m:val="subSup"/>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S</m:t>
                    </m:r>
                  </m:sup>
                  <m:e>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func>
                      <m:funcPr>
                        <m:ctrlPr>
                          <w:rPr>
                            <w:rFonts w:ascii="Cambria Math" w:hAnsi="Cambria Math"/>
                            <w:i/>
                            <w:lang w:eastAsia="zh-CN"/>
                          </w:rPr>
                        </m:ctrlPr>
                      </m:funcPr>
                      <m:fName>
                        <m:r>
                          <m:rPr>
                            <m:sty m:val="p"/>
                          </m:rPr>
                          <w:rPr>
                            <w:rFonts w:ascii="Cambria Math" w:hAnsi="Cambria Math"/>
                          </w:rPr>
                          <m:t>ln</m:t>
                        </m:r>
                      </m:fName>
                      <m:e>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e>
                    </m:func>
                  </m:e>
                </m:nary>
              </m:oMath>
            </m:oMathPara>
          </w:p>
        </w:tc>
        <w:tc>
          <w:tcPr>
            <w:tcW w:w="4675" w:type="dxa"/>
            <w:vAlign w:val="center"/>
          </w:tcPr>
          <w:p w:rsidR="00A1260F" w:rsidRDefault="00A1260F" w:rsidP="00786F24">
            <w:pPr>
              <w:rPr>
                <w:lang w:eastAsia="zh-CN"/>
              </w:rPr>
            </w:pPr>
            <w:r>
              <w:rPr>
                <w:lang w:eastAsia="zh-CN"/>
              </w:rPr>
              <w:t xml:space="preserve">LaTeX Code: </w:t>
            </w:r>
            <w:proofErr w:type="gramStart"/>
            <w:r w:rsidR="005824EB" w:rsidRPr="005824EB">
              <w:rPr>
                <w:lang w:eastAsia="zh-CN"/>
              </w:rPr>
              <w:t>\[</w:t>
            </w:r>
            <w:proofErr w:type="gramEnd"/>
            <w:r w:rsidR="005824EB" w:rsidRPr="005824EB">
              <w:rPr>
                <w:lang w:eastAsia="zh-CN"/>
              </w:rPr>
              <w:t xml:space="preserve"> H = - \sum_{i=1}^{S} p_i \ln p_i \]</w:t>
            </w:r>
          </w:p>
        </w:tc>
      </w:tr>
    </w:tbl>
    <w:p w:rsidR="00175103" w:rsidRDefault="00175103" w:rsidP="00175103">
      <w:r>
        <w:t>Shannon's equitability (</w:t>
      </w:r>
      <w:r>
        <w:rPr>
          <w:i/>
          <w:iCs/>
        </w:rPr>
        <w:t>E</w:t>
      </w:r>
      <w:r>
        <w:rPr>
          <w:i/>
          <w:iCs/>
          <w:vertAlign w:val="subscript"/>
        </w:rPr>
        <w:t>H</w:t>
      </w:r>
      <w:r>
        <w:t>) can be calculated by dividing</w:t>
      </w:r>
      <w:r w:rsidR="008A2B2D">
        <w:t xml:space="preserve"> </w:t>
      </w:r>
      <w:r>
        <w:rPr>
          <w:i/>
          <w:iCs/>
        </w:rPr>
        <w:t>H</w:t>
      </w:r>
      <w:r w:rsidR="008A2B2D">
        <w:t xml:space="preserve"> </w:t>
      </w:r>
      <w:r>
        <w:t>by</w:t>
      </w:r>
      <w:r w:rsidR="008A2B2D">
        <w:t xml:space="preserve"> </w:t>
      </w:r>
      <w:r>
        <w:rPr>
          <w:i/>
          <w:iCs/>
        </w:rPr>
        <w:t>H</w:t>
      </w:r>
      <w:r>
        <w:rPr>
          <w:vertAlign w:val="subscript"/>
        </w:rPr>
        <w:t>max</w:t>
      </w:r>
      <w:r w:rsidR="008A2B2D">
        <w:t xml:space="preserve"> </w:t>
      </w:r>
      <w:r>
        <w:t>(here</w:t>
      </w:r>
      <w:r w:rsidR="008A2B2D">
        <w:t xml:space="preserve"> </w:t>
      </w:r>
      <w:r>
        <w:rPr>
          <w:i/>
          <w:iCs/>
        </w:rPr>
        <w:t>H</w:t>
      </w:r>
      <w:r>
        <w:rPr>
          <w:vertAlign w:val="subscript"/>
        </w:rPr>
        <w:t>max</w:t>
      </w:r>
      <w:r w:rsidR="008A2B2D">
        <w:t xml:space="preserve"> </w:t>
      </w:r>
      <w:r>
        <w:t>= ln</w:t>
      </w:r>
      <w:r>
        <w:rPr>
          <w:i/>
          <w:iCs/>
        </w:rPr>
        <w:t>S</w:t>
      </w:r>
      <w:r>
        <w:t>). Equitability assumes a value between 0 and 1 with 1 being complete evenness.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E12B6" w:rsidTr="00CB06B2">
        <w:tc>
          <w:tcPr>
            <w:tcW w:w="4675" w:type="dxa"/>
            <w:vAlign w:val="center"/>
          </w:tcPr>
          <w:p w:rsidR="005E12B6" w:rsidRDefault="003A7A29" w:rsidP="00CB06B2">
            <m:oMathPara>
              <m:oMath>
                <m:sSub>
                  <m:sSubPr>
                    <m:ctrlPr>
                      <w:rPr>
                        <w:rFonts w:ascii="Cambria Math" w:hAnsi="Cambria Math"/>
                        <w:i/>
                      </w:rPr>
                    </m:ctrlPr>
                  </m:sSubPr>
                  <m:e>
                    <m:r>
                      <w:rPr>
                        <w:rFonts w:ascii="Cambria Math" w:hAnsi="Cambria Math"/>
                      </w:rPr>
                      <m:t>E</m:t>
                    </m:r>
                  </m:e>
                  <m:sub>
                    <m:r>
                      <w:rPr>
                        <w:rFonts w:ascii="Cambria Math" w:hAnsi="Cambria Math"/>
                      </w:rPr>
                      <m:t>H</m:t>
                    </m:r>
                  </m:sub>
                </m:sSub>
                <m:r>
                  <w:rPr>
                    <w:rFonts w:ascii="Cambria Math" w:hAnsi="Cambria Math"/>
                  </w:rPr>
                  <m:t>=</m:t>
                </m:r>
                <m:f>
                  <m:fPr>
                    <m:type m:val="lin"/>
                    <m:ctrlPr>
                      <w:rPr>
                        <w:rFonts w:ascii="Cambria Math" w:hAnsi="Cambria Math"/>
                        <w:i/>
                      </w:rPr>
                    </m:ctrlPr>
                  </m:fPr>
                  <m:num>
                    <m:r>
                      <w:rPr>
                        <w:rFonts w:ascii="Cambria Math" w:hAnsi="Cambria Math"/>
                      </w:rPr>
                      <m:t>H</m:t>
                    </m:r>
                  </m:num>
                  <m:den>
                    <m:sSub>
                      <m:sSubPr>
                        <m:ctrlPr>
                          <w:rPr>
                            <w:rFonts w:ascii="Cambria Math" w:hAnsi="Cambria Math"/>
                            <w:i/>
                          </w:rPr>
                        </m:ctrlPr>
                      </m:sSubPr>
                      <m:e>
                        <m:r>
                          <w:rPr>
                            <w:rFonts w:ascii="Cambria Math" w:hAnsi="Cambria Math"/>
                          </w:rPr>
                          <m:t>H</m:t>
                        </m:r>
                      </m:e>
                      <m:sub>
                        <m:r>
                          <w:rPr>
                            <w:rFonts w:ascii="Cambria Math" w:hAnsi="Cambria Math"/>
                          </w:rPr>
                          <m:t>max</m:t>
                        </m:r>
                      </m:sub>
                    </m:sSub>
                    <m:r>
                      <w:rPr>
                        <w:rFonts w:ascii="Cambria Math" w:hAnsi="Cambria Math"/>
                      </w:rPr>
                      <m:t>=</m:t>
                    </m:r>
                    <m:f>
                      <m:fPr>
                        <m:type m:val="lin"/>
                        <m:ctrlPr>
                          <w:rPr>
                            <w:rFonts w:ascii="Cambria Math" w:hAnsi="Cambria Math"/>
                            <w:i/>
                          </w:rPr>
                        </m:ctrlPr>
                      </m:fPr>
                      <m:num>
                        <m:r>
                          <w:rPr>
                            <w:rFonts w:ascii="Cambria Math" w:hAnsi="Cambria Math"/>
                          </w:rPr>
                          <m:t>H</m:t>
                        </m:r>
                      </m:num>
                      <m:den>
                        <m:func>
                          <m:funcPr>
                            <m:ctrlPr>
                              <w:rPr>
                                <w:rFonts w:ascii="Cambria Math" w:hAnsi="Cambria Math"/>
                                <w:i/>
                              </w:rPr>
                            </m:ctrlPr>
                          </m:funcPr>
                          <m:fName>
                            <m:r>
                              <m:rPr>
                                <m:sty m:val="p"/>
                              </m:rPr>
                              <w:rPr>
                                <w:rFonts w:ascii="Cambria Math" w:hAnsi="Cambria Math"/>
                              </w:rPr>
                              <m:t>ln</m:t>
                            </m:r>
                          </m:fName>
                          <m:e>
                            <m:r>
                              <w:rPr>
                                <w:rFonts w:ascii="Cambria Math" w:hAnsi="Cambria Math"/>
                              </w:rPr>
                              <m:t>S</m:t>
                            </m:r>
                          </m:e>
                        </m:func>
                      </m:den>
                    </m:f>
                  </m:den>
                </m:f>
              </m:oMath>
            </m:oMathPara>
          </w:p>
        </w:tc>
        <w:tc>
          <w:tcPr>
            <w:tcW w:w="4675" w:type="dxa"/>
            <w:vAlign w:val="center"/>
          </w:tcPr>
          <w:p w:rsidR="005E12B6" w:rsidRDefault="005E12B6" w:rsidP="00CB06B2">
            <w:r>
              <w:t xml:space="preserve">LaTeX Code: </w:t>
            </w:r>
            <w:proofErr w:type="gramStart"/>
            <w:r>
              <w:t>\[</w:t>
            </w:r>
            <w:proofErr w:type="gramEnd"/>
            <w:r>
              <w:t xml:space="preserve"> E_H = H / H_{max} = H / </w:t>
            </w:r>
            <w:r w:rsidR="000F72E2">
              <w:t>\ln{S}</w:t>
            </w:r>
            <w:r>
              <w:t xml:space="preserve"> \]</w:t>
            </w:r>
          </w:p>
        </w:tc>
      </w:tr>
    </w:tbl>
    <w:p w:rsidR="00F44E7D" w:rsidRDefault="00175103" w:rsidP="00175103">
      <w:bookmarkStart w:id="0" w:name="Example:"/>
      <w:bookmarkEnd w:id="0"/>
      <w:r>
        <w:rPr>
          <w:i/>
          <w:iCs/>
        </w:rPr>
        <w:t>Example:</w:t>
      </w:r>
    </w:p>
    <w:p w:rsidR="00175103" w:rsidRDefault="00175103" w:rsidP="00175103">
      <w:r>
        <w:t>The graph below shows</w:t>
      </w:r>
      <w:r w:rsidR="00C574D4">
        <w:t xml:space="preserve"> </w:t>
      </w:r>
      <w:r>
        <w:rPr>
          <w:i/>
          <w:iCs/>
        </w:rPr>
        <w:t>H</w:t>
      </w:r>
      <w:r w:rsidR="00C574D4">
        <w:t xml:space="preserve"> </w:t>
      </w:r>
      <w:r>
        <w:t>and</w:t>
      </w:r>
      <w:r w:rsidR="00C574D4">
        <w:t xml:space="preserve"> </w:t>
      </w:r>
      <w:r>
        <w:rPr>
          <w:i/>
          <w:iCs/>
        </w:rPr>
        <w:t>E</w:t>
      </w:r>
      <w:r>
        <w:rPr>
          <w:i/>
          <w:iCs/>
          <w:vertAlign w:val="subscript"/>
        </w:rPr>
        <w:t>H</w:t>
      </w:r>
      <w:r w:rsidR="00C574D4">
        <w:t xml:space="preserve"> </w:t>
      </w:r>
      <w:r>
        <w:t>for four hypothetical communities, each consisting of 100 individuals. The communities are composed of 5, 10, 20 and 50 species, respectively. For each community</w:t>
      </w:r>
      <w:r w:rsidR="009A2021">
        <w:t xml:space="preserve"> </w:t>
      </w:r>
      <w:r>
        <w:rPr>
          <w:i/>
          <w:iCs/>
        </w:rPr>
        <w:t>H</w:t>
      </w:r>
      <w:r w:rsidR="009A2021">
        <w:t xml:space="preserve"> </w:t>
      </w:r>
      <w:r>
        <w:t>and</w:t>
      </w:r>
      <w:r w:rsidR="009A2021">
        <w:t xml:space="preserve"> </w:t>
      </w:r>
      <w:r>
        <w:rPr>
          <w:i/>
          <w:iCs/>
        </w:rPr>
        <w:t>E</w:t>
      </w:r>
      <w:r>
        <w:rPr>
          <w:i/>
          <w:iCs/>
          <w:vertAlign w:val="subscript"/>
        </w:rPr>
        <w:t>H</w:t>
      </w:r>
      <w:r w:rsidR="009A2021">
        <w:t xml:space="preserve"> </w:t>
      </w:r>
      <w:r>
        <w:t>have been calculated for the case in which individuals are distributed evenly among the different species (i.e., each species makes up an equal proportion of</w:t>
      </w:r>
      <w:r w:rsidR="009A2021">
        <w:t xml:space="preserve"> </w:t>
      </w:r>
      <w:r>
        <w:rPr>
          <w:i/>
          <w:iCs/>
        </w:rPr>
        <w:t>S</w:t>
      </w:r>
      <w:r>
        <w:t>), and for the case in which one species has 90% of the individuals, and the remaining individuals are distributed evenly. For example, in a community with 10 species in which the species contain equal numbers of individuals,</w:t>
      </w:r>
      <w:r w:rsidR="00FA7FEE">
        <w:t xml:space="preserve"> </w:t>
      </w:r>
      <w:r>
        <w:rPr>
          <w:i/>
          <w:iCs/>
        </w:rPr>
        <w:t>p</w:t>
      </w:r>
      <w:r w:rsidR="00FA7FEE">
        <w:rPr>
          <w:i/>
          <w:iCs/>
        </w:rPr>
        <w:t xml:space="preserve"> </w:t>
      </w:r>
      <w:r>
        <w:t>= 0.1 for each species. In a community with 10 species in which one species has 90% of the individuals,</w:t>
      </w:r>
      <w:r w:rsidR="00FA7FEE">
        <w:t xml:space="preserve"> </w:t>
      </w:r>
      <w:r>
        <w:rPr>
          <w:i/>
          <w:iCs/>
        </w:rPr>
        <w:t>p</w:t>
      </w:r>
      <w:r w:rsidR="00FA7FEE">
        <w:t xml:space="preserve"> </w:t>
      </w:r>
      <w:r>
        <w:t>= 0.9 for the dominant species, and</w:t>
      </w:r>
      <w:r w:rsidR="00603822">
        <w:t xml:space="preserve"> </w:t>
      </w:r>
      <w:r>
        <w:rPr>
          <w:i/>
          <w:iCs/>
        </w:rPr>
        <w:t>p</w:t>
      </w:r>
      <w:r w:rsidR="00603822">
        <w:t xml:space="preserve"> </w:t>
      </w:r>
      <w:r>
        <w:t>= 0.01 for the other nine species. The diamonds represent</w:t>
      </w:r>
      <w:r w:rsidR="005D109B">
        <w:t xml:space="preserve"> </w:t>
      </w:r>
      <w:r>
        <w:rPr>
          <w:i/>
          <w:iCs/>
        </w:rPr>
        <w:t>H</w:t>
      </w:r>
      <w:r w:rsidR="005D109B">
        <w:t xml:space="preserve"> </w:t>
      </w:r>
      <w:r>
        <w:t>and</w:t>
      </w:r>
      <w:r w:rsidR="005D109B">
        <w:t xml:space="preserve"> </w:t>
      </w:r>
      <w:r>
        <w:rPr>
          <w:i/>
          <w:iCs/>
        </w:rPr>
        <w:t>E</w:t>
      </w:r>
      <w:r>
        <w:rPr>
          <w:i/>
          <w:iCs/>
          <w:vertAlign w:val="subscript"/>
        </w:rPr>
        <w:t>H</w:t>
      </w:r>
      <w:r w:rsidR="005D109B">
        <w:t xml:space="preserve"> </w:t>
      </w:r>
      <w:r w:rsidR="005D109B">
        <w:rPr>
          <w:rFonts w:hint="eastAsia"/>
          <w:lang w:eastAsia="zh-CN"/>
        </w:rPr>
        <w:t>v</w:t>
      </w:r>
      <w:r>
        <w:t>alues for the first case (equal proportions), and the triangles represent values for</w:t>
      </w:r>
      <w:r w:rsidR="00603822">
        <w:t xml:space="preserve"> </w:t>
      </w:r>
      <w:r>
        <w:rPr>
          <w:i/>
          <w:iCs/>
        </w:rPr>
        <w:t>H</w:t>
      </w:r>
      <w:r w:rsidR="00603822">
        <w:t xml:space="preserve"> </w:t>
      </w:r>
      <w:r>
        <w:t>and</w:t>
      </w:r>
      <w:r w:rsidR="00603822">
        <w:t xml:space="preserve"> </w:t>
      </w:r>
      <w:r>
        <w:rPr>
          <w:i/>
          <w:iCs/>
        </w:rPr>
        <w:t>E</w:t>
      </w:r>
      <w:r>
        <w:rPr>
          <w:i/>
          <w:iCs/>
          <w:vertAlign w:val="subscript"/>
        </w:rPr>
        <w:t>H</w:t>
      </w:r>
      <w:r w:rsidR="00603822">
        <w:t xml:space="preserve"> </w:t>
      </w:r>
      <w:r>
        <w:t>for the second case (unequal proportions).</w:t>
      </w:r>
    </w:p>
    <w:p w:rsidR="00175103" w:rsidRDefault="00175103" w:rsidP="00530829">
      <w:pPr>
        <w:jc w:val="center"/>
      </w:pPr>
      <w:r>
        <w:fldChar w:fldCharType="begin"/>
      </w:r>
      <w:r>
        <w:instrText xml:space="preserve"> INCLUDEPICTURE "http://www.tiem.utk.edu/~gross/bioed/bealsmodules/shannonDI.gph.gif" \* MERGEFORMATINET </w:instrText>
      </w:r>
      <w:r>
        <w:fldChar w:fldCharType="separate"/>
      </w:r>
      <w:r>
        <w:rPr>
          <w:noProof/>
        </w:rPr>
        <w:drawing>
          <wp:inline distT="0" distB="0" distL="0" distR="0">
            <wp:extent cx="3657600" cy="2654209"/>
            <wp:effectExtent l="0" t="0" r="0" b="0"/>
            <wp:docPr id="1" name="Picture 1" descr="http://www.tiem.utk.edu/~gross/bioed/bealsmodules/shannonDI.g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em.utk.edu/~gross/bioed/bealsmodules/shannonDI.gph.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654209"/>
                    </a:xfrm>
                    <a:prstGeom prst="rect">
                      <a:avLst/>
                    </a:prstGeom>
                    <a:noFill/>
                    <a:ln>
                      <a:noFill/>
                    </a:ln>
                  </pic:spPr>
                </pic:pic>
              </a:graphicData>
            </a:graphic>
          </wp:inline>
        </w:drawing>
      </w:r>
      <w:r>
        <w:fldChar w:fldCharType="end"/>
      </w:r>
    </w:p>
    <w:p w:rsidR="00175103" w:rsidRDefault="00175103" w:rsidP="00175103">
      <w:r>
        <w:t>For the first case,</w:t>
      </w:r>
      <w:r w:rsidR="00530829">
        <w:t xml:space="preserve"> </w:t>
      </w:r>
      <w:r>
        <w:rPr>
          <w:i/>
          <w:iCs/>
        </w:rPr>
        <w:t>E</w:t>
      </w:r>
      <w:r>
        <w:rPr>
          <w:i/>
          <w:iCs/>
          <w:vertAlign w:val="subscript"/>
        </w:rPr>
        <w:t>H</w:t>
      </w:r>
      <w:r w:rsidR="00530829">
        <w:t xml:space="preserve"> </w:t>
      </w:r>
      <w:r>
        <w:t>is always equal to one (complete evenness, or equitability), but</w:t>
      </w:r>
      <w:r w:rsidR="00CD2067">
        <w:t xml:space="preserve"> </w:t>
      </w:r>
      <w:r>
        <w:rPr>
          <w:i/>
          <w:iCs/>
        </w:rPr>
        <w:t>H</w:t>
      </w:r>
      <w:r w:rsidR="00CD2067">
        <w:t xml:space="preserve"> </w:t>
      </w:r>
      <w:r>
        <w:t>increases dramatically as the number of species increases, as we would expect. For the second case, in which one species makes up 90% of the community, the picture is a little different. Here we can see that although</w:t>
      </w:r>
      <w:r w:rsidR="00BC6C2A">
        <w:t xml:space="preserve"> </w:t>
      </w:r>
      <w:r>
        <w:rPr>
          <w:i/>
          <w:iCs/>
        </w:rPr>
        <w:t>H</w:t>
      </w:r>
      <w:r w:rsidR="00BC6C2A">
        <w:t xml:space="preserve"> </w:t>
      </w:r>
      <w:r>
        <w:t>does increase with increasing numbers of species, it does so much more slowly than in the first case. Additionally,</w:t>
      </w:r>
      <w:r w:rsidR="00392522">
        <w:t xml:space="preserve"> </w:t>
      </w:r>
      <w:r>
        <w:rPr>
          <w:i/>
          <w:iCs/>
        </w:rPr>
        <w:lastRenderedPageBreak/>
        <w:t>E</w:t>
      </w:r>
      <w:r>
        <w:rPr>
          <w:i/>
          <w:iCs/>
          <w:vertAlign w:val="subscript"/>
        </w:rPr>
        <w:t>H</w:t>
      </w:r>
      <w:r w:rsidR="00392522">
        <w:t xml:space="preserve"> </w:t>
      </w:r>
      <w:r>
        <w:t>decreases as species number increases (since one species always makes up 90% of the community in the second case of this hypothetical example, the remaining species make up some fraction of 10% of the community; as species number increases this fraction becomes smaller and evenness decreases).</w:t>
      </w:r>
      <w:r w:rsidR="00425D8A">
        <w:t xml:space="preserve"> </w:t>
      </w:r>
      <w:r>
        <w:rPr>
          <w:i/>
          <w:iCs/>
        </w:rPr>
        <w:t>H</w:t>
      </w:r>
      <w:r w:rsidR="00425D8A">
        <w:t xml:space="preserve"> </w:t>
      </w:r>
      <w:r>
        <w:t>and</w:t>
      </w:r>
      <w:r w:rsidR="00425D8A">
        <w:t xml:space="preserve"> </w:t>
      </w:r>
      <w:r>
        <w:rPr>
          <w:i/>
          <w:iCs/>
        </w:rPr>
        <w:t>E</w:t>
      </w:r>
      <w:r>
        <w:rPr>
          <w:i/>
          <w:iCs/>
          <w:vertAlign w:val="subscript"/>
        </w:rPr>
        <w:t>H</w:t>
      </w:r>
      <w:r w:rsidR="00425D8A">
        <w:t xml:space="preserve"> </w:t>
      </w:r>
      <w:r>
        <w:t>clearly give more information about these communities than would species number (richness) alone.</w:t>
      </w:r>
    </w:p>
    <w:p w:rsidR="008E6A8B" w:rsidRDefault="00175103" w:rsidP="008E6A8B">
      <w:r>
        <w:t>The following table contains data from a study of Costa Rican ant diversity (Roth</w:t>
      </w:r>
      <w:r w:rsidR="002B652A">
        <w:t xml:space="preserve"> </w:t>
      </w:r>
      <w:r>
        <w:rPr>
          <w:i/>
          <w:iCs/>
        </w:rPr>
        <w:t>et al</w:t>
      </w:r>
      <w:r>
        <w:t>. 1994). The authors measured diversity in four different habitats ranging very low levels of human disturbance (primary rain forest) to very high levels of human disturbance (banana plantations) to assess the impacts of different levels of disturbance on biological diversity. For each habitat studied we will use data collected from one site within that habitat. The numbers below represent relative proportions of each species (from Roth</w:t>
      </w:r>
      <w:r w:rsidR="005C2142">
        <w:t xml:space="preserve"> </w:t>
      </w:r>
      <w:r>
        <w:rPr>
          <w:i/>
          <w:iCs/>
        </w:rPr>
        <w:t>et al</w:t>
      </w:r>
      <w:r>
        <w:t>. 1994 [family names have been omitted]).</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firstRow="1" w:lastRow="0" w:firstColumn="1" w:lastColumn="0" w:noHBand="0" w:noVBand="1"/>
      </w:tblPr>
      <w:tblGrid>
        <w:gridCol w:w="2382"/>
        <w:gridCol w:w="1742"/>
        <w:gridCol w:w="1742"/>
        <w:gridCol w:w="1742"/>
        <w:gridCol w:w="1742"/>
      </w:tblGrid>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lang w:eastAsia="zh-CN"/>
              </w:rPr>
              <w:t>Formicidae</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Primary Forest</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Abandoned cacao plantations</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Productive cacao plantations</w:t>
            </w: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Banana plantations</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Acromyrmex</w:t>
            </w:r>
            <w:r>
              <w:rPr>
                <w:i/>
                <w:iCs/>
                <w:lang w:eastAsia="zh-CN"/>
              </w:rPr>
              <w:t xml:space="preserve"> </w:t>
            </w:r>
            <w:r w:rsidRPr="00223AA1">
              <w:rPr>
                <w:i/>
                <w:iCs/>
                <w:lang w:eastAsia="zh-CN"/>
              </w:rPr>
              <w:t>sp. 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0.013</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A. volcanus</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0.006</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A. araneoides</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0.117</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0.140</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Atta cephalotes</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0.010</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Carabarella</w:t>
            </w:r>
            <w:r w:rsidR="0011046F">
              <w:rPr>
                <w:i/>
                <w:iCs/>
                <w:lang w:eastAsia="zh-CN"/>
              </w:rPr>
              <w:t xml:space="preserve"> </w:t>
            </w:r>
            <w:r w:rsidRPr="00223AA1">
              <w:rPr>
                <w:i/>
                <w:iCs/>
                <w:lang w:eastAsia="zh-CN"/>
              </w:rPr>
              <w:t>sp. 1</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Cardiocondylasp. 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0.011</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Crematogastersp. 2</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0.021</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0.024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Cyphomyrmexsp. 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0.011</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Erebomyrma nevermanni</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0.021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11046F">
              <w:rPr>
                <w:i/>
                <w:iCs/>
                <w:lang w:eastAsia="zh-CN"/>
              </w:rPr>
              <w:t xml:space="preserve"> </w:t>
            </w:r>
            <w:r w:rsidRPr="00223AA1">
              <w:rPr>
                <w:i/>
                <w:iCs/>
                <w:lang w:eastAsia="zh-CN"/>
              </w:rPr>
              <w:t>sp. 1</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0.021</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0.035</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0.019</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11046F">
              <w:rPr>
                <w:i/>
                <w:iCs/>
                <w:lang w:eastAsia="zh-CN"/>
              </w:rPr>
              <w:t xml:space="preserve"> </w:t>
            </w:r>
            <w:r w:rsidRPr="00223AA1">
              <w:rPr>
                <w:i/>
                <w:iCs/>
                <w:lang w:eastAsia="zh-CN"/>
              </w:rPr>
              <w:t>sp. 2</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0.008</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0.045</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0.013</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11046F">
              <w:rPr>
                <w:i/>
                <w:iCs/>
                <w:lang w:eastAsia="zh-CN"/>
              </w:rPr>
              <w:t xml:space="preserve"> </w:t>
            </w:r>
            <w:r w:rsidRPr="00223AA1">
              <w:rPr>
                <w:i/>
                <w:iCs/>
                <w:lang w:eastAsia="zh-CN"/>
              </w:rPr>
              <w:t>sp. 3</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0.058</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0.021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11046F">
              <w:rPr>
                <w:i/>
                <w:iCs/>
                <w:lang w:eastAsia="zh-CN"/>
              </w:rPr>
              <w:t xml:space="preserve"> </w:t>
            </w:r>
            <w:r w:rsidRPr="00223AA1">
              <w:rPr>
                <w:i/>
                <w:iCs/>
                <w:lang w:eastAsia="zh-CN"/>
              </w:rPr>
              <w:t>sp. 5</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0.054</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0.010</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11046F">
              <w:rPr>
                <w:i/>
                <w:iCs/>
                <w:lang w:eastAsia="zh-CN"/>
              </w:rPr>
              <w:t xml:space="preserve"> </w:t>
            </w:r>
            <w:r w:rsidRPr="00223AA1">
              <w:rPr>
                <w:i/>
                <w:iCs/>
                <w:lang w:eastAsia="zh-CN"/>
              </w:rPr>
              <w:t>sp. 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0.006</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lastRenderedPageBreak/>
              <w:t>Pheidole</w:t>
            </w:r>
            <w:r w:rsidR="00C157B8">
              <w:rPr>
                <w:i/>
                <w:iCs/>
                <w:lang w:eastAsia="zh-CN"/>
              </w:rPr>
              <w:t xml:space="preserve"> </w:t>
            </w:r>
            <w:r w:rsidRPr="00223AA1">
              <w:rPr>
                <w:i/>
                <w:iCs/>
                <w:lang w:eastAsia="zh-CN"/>
              </w:rPr>
              <w:t>sp. 9</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0.021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10</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11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0.024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12</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0.003</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15</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0.163</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16</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0.003</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19</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22</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0.067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23</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24</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0.011</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25</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0.157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26</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0.005</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27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0.003</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28</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0.003</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31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0.010</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34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0.005</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Pheidole</w:t>
            </w:r>
            <w:r w:rsidR="00C157B8">
              <w:rPr>
                <w:i/>
                <w:iCs/>
                <w:lang w:eastAsia="zh-CN"/>
              </w:rPr>
              <w:t xml:space="preserve"> </w:t>
            </w:r>
            <w:r w:rsidRPr="00223AA1">
              <w:rPr>
                <w:i/>
                <w:iCs/>
                <w:lang w:eastAsia="zh-CN"/>
              </w:rPr>
              <w:t>sp. 36</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0.125</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 annectans</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0.079</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0.028</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0.005</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 longiscapa</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0.050</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0.003</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 punctatissima</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0.005</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w:t>
            </w:r>
            <w:r w:rsidR="008E7250">
              <w:rPr>
                <w:i/>
                <w:iCs/>
                <w:lang w:eastAsia="zh-CN"/>
              </w:rPr>
              <w:t xml:space="preserve"> </w:t>
            </w:r>
            <w:r w:rsidRPr="00223AA1">
              <w:rPr>
                <w:i/>
                <w:iCs/>
                <w:lang w:eastAsia="zh-CN"/>
              </w:rPr>
              <w:t>nr. subarmata</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0.003</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 subarmata</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0.043</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 fiorii</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0.075</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Sericomyrmexsp. 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0.006</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Solenopsis</w:t>
            </w:r>
            <w:r w:rsidR="003C6904">
              <w:rPr>
                <w:i/>
                <w:iCs/>
                <w:lang w:eastAsia="zh-CN"/>
              </w:rPr>
              <w:t xml:space="preserve"> </w:t>
            </w:r>
            <w:r w:rsidRPr="00223AA1">
              <w:rPr>
                <w:i/>
                <w:iCs/>
                <w:lang w:eastAsia="zh-CN"/>
              </w:rPr>
              <w:t>sp. 1</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0.006</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lastRenderedPageBreak/>
              <w:t>Solenopsis</w:t>
            </w:r>
            <w:r w:rsidR="00FD4DAF">
              <w:rPr>
                <w:i/>
                <w:iCs/>
                <w:lang w:eastAsia="zh-CN"/>
              </w:rPr>
              <w:t xml:space="preserve"> </w:t>
            </w:r>
            <w:r w:rsidRPr="00223AA1">
              <w:rPr>
                <w:i/>
                <w:iCs/>
                <w:lang w:eastAsia="zh-CN"/>
              </w:rPr>
              <w:t>sp. 3</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0.077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Solenopsis</w:t>
            </w:r>
            <w:r w:rsidR="00FD4DAF">
              <w:rPr>
                <w:i/>
                <w:iCs/>
                <w:lang w:eastAsia="zh-CN"/>
              </w:rPr>
              <w:t xml:space="preserve"> </w:t>
            </w:r>
            <w:r w:rsidRPr="00223AA1">
              <w:rPr>
                <w:i/>
                <w:iCs/>
                <w:lang w:eastAsia="zh-CN"/>
              </w:rPr>
              <w:t>sp. 4</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Solenopsis</w:t>
            </w:r>
            <w:r w:rsidR="00FD4DAF">
              <w:rPr>
                <w:i/>
                <w:iCs/>
                <w:lang w:eastAsia="zh-CN"/>
              </w:rPr>
              <w:t xml:space="preserve"> </w:t>
            </w:r>
            <w:r w:rsidRPr="00223AA1">
              <w:rPr>
                <w:i/>
                <w:iCs/>
                <w:lang w:eastAsia="zh-CN"/>
              </w:rPr>
              <w:t>sp. 5</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Solenopsis</w:t>
            </w:r>
            <w:r w:rsidR="00FD4DAF">
              <w:rPr>
                <w:i/>
                <w:iCs/>
                <w:lang w:eastAsia="zh-CN"/>
              </w:rPr>
              <w:t xml:space="preserve"> </w:t>
            </w:r>
            <w:r w:rsidRPr="00223AA1">
              <w:rPr>
                <w:i/>
                <w:iCs/>
                <w:lang w:eastAsia="zh-CN"/>
              </w:rPr>
              <w:t>sp. 6</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Solenopsis</w:t>
            </w:r>
            <w:r w:rsidR="00FD4DAF">
              <w:rPr>
                <w:i/>
                <w:iCs/>
                <w:lang w:eastAsia="zh-CN"/>
              </w:rPr>
              <w:t xml:space="preserve"> </w:t>
            </w:r>
            <w:r w:rsidRPr="00223AA1">
              <w:rPr>
                <w:i/>
                <w:iCs/>
                <w:lang w:eastAsia="zh-CN"/>
              </w:rPr>
              <w:t>sp. 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0.038</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Solenopsis</w:t>
            </w:r>
            <w:r w:rsidR="00FD4DAF">
              <w:rPr>
                <w:i/>
                <w:iCs/>
                <w:lang w:eastAsia="zh-CN"/>
              </w:rPr>
              <w:t xml:space="preserve"> </w:t>
            </w:r>
            <w:r w:rsidRPr="00223AA1">
              <w:rPr>
                <w:i/>
                <w:iCs/>
                <w:lang w:eastAsia="zh-CN"/>
              </w:rPr>
              <w:t>sp. 8</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0.042</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Solenopsis</w:t>
            </w:r>
            <w:r w:rsidR="00FD4DAF">
              <w:rPr>
                <w:i/>
                <w:iCs/>
                <w:lang w:eastAsia="zh-CN"/>
              </w:rPr>
              <w:t xml:space="preserve"> </w:t>
            </w:r>
            <w:r w:rsidRPr="00223AA1">
              <w:rPr>
                <w:i/>
                <w:iCs/>
                <w:lang w:eastAsia="zh-CN"/>
              </w:rPr>
              <w:t>sp. 9</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0.035</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S. geminata</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0.031</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0.101</w:t>
            </w: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0.830</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Tetramorium bicarinatum</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0.005</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Trachymyrmexsp. 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0.003</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0.019</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Trachymyrmexsp. 2</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Trachymyrmexsp. 3</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Wasmannia</w:t>
            </w:r>
            <w:r w:rsidR="00C62130">
              <w:rPr>
                <w:i/>
                <w:iCs/>
                <w:lang w:eastAsia="zh-CN"/>
              </w:rPr>
              <w:t xml:space="preserve"> </w:t>
            </w:r>
            <w:r w:rsidRPr="00223AA1">
              <w:rPr>
                <w:i/>
                <w:iCs/>
                <w:lang w:eastAsia="zh-CN"/>
              </w:rPr>
              <w:t>sp. 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0.011</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W. auropunctata</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0.050</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0.021</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0.006</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Pseudomyrmexsp. 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Ectatomma gibbum</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E. ruidum</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0.038</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0.753</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E. tuberculatum</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Gnamptogenyssp. 2</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Gnamptogenyssp. 3</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Gnamptogenyssp. 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G. bispinosa</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Hypoponera</w:t>
            </w:r>
            <w:r w:rsidR="00C62130">
              <w:rPr>
                <w:i/>
                <w:iCs/>
                <w:lang w:eastAsia="zh-CN"/>
              </w:rPr>
              <w:t xml:space="preserve"> </w:t>
            </w:r>
            <w:r w:rsidRPr="00223AA1">
              <w:rPr>
                <w:i/>
                <w:iCs/>
                <w:lang w:eastAsia="zh-CN"/>
              </w:rPr>
              <w:t>sp. 1</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0.010</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Hypoponera</w:t>
            </w:r>
            <w:r w:rsidR="00C62130">
              <w:rPr>
                <w:i/>
                <w:iCs/>
                <w:lang w:eastAsia="zh-CN"/>
              </w:rPr>
              <w:t xml:space="preserve"> </w:t>
            </w:r>
            <w:r w:rsidRPr="00223AA1">
              <w:rPr>
                <w:i/>
                <w:iCs/>
                <w:lang w:eastAsia="zh-CN"/>
              </w:rPr>
              <w:t>sp. 2</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lastRenderedPageBreak/>
              <w:t>Hypoponera</w:t>
            </w:r>
            <w:r w:rsidR="00DF13E2">
              <w:rPr>
                <w:i/>
                <w:iCs/>
                <w:lang w:eastAsia="zh-CN"/>
              </w:rPr>
              <w:t xml:space="preserve"> </w:t>
            </w:r>
            <w:r w:rsidRPr="00223AA1">
              <w:rPr>
                <w:i/>
                <w:iCs/>
                <w:lang w:eastAsia="zh-CN"/>
              </w:rPr>
              <w:t>sp. 3</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0.005</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Hypoponera</w:t>
            </w:r>
            <w:r w:rsidR="00DF13E2">
              <w:rPr>
                <w:i/>
                <w:iCs/>
                <w:lang w:eastAsia="zh-CN"/>
              </w:rPr>
              <w:t xml:space="preserve"> </w:t>
            </w:r>
            <w:r w:rsidRPr="00223AA1">
              <w:rPr>
                <w:i/>
                <w:iCs/>
                <w:lang w:eastAsia="zh-CN"/>
              </w:rPr>
              <w:t>sp. 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0.011</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Odontomachus bauri</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O. brunneus</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0.004</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O. chelifer</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0.021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O. erythrocephalus</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0.006</w:t>
            </w: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0.043</w:t>
            </w: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O. hastatus</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O. laticeps</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0.008</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0.010</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O. opaciventris</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Pachycondyla apicalis</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0.017</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0.007</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 constricta</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0.006</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 harpax</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0.0125</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0.031</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0.013</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 obscuricornis</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0.003</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0.006</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 villosa</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Paraponera clavata</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0.019</w:t>
            </w: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Brachymyrmexsp. 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Brachymyrmexsp. 2</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Campanotus</w:t>
            </w:r>
            <w:r w:rsidR="00923916">
              <w:rPr>
                <w:i/>
                <w:iCs/>
                <w:lang w:eastAsia="zh-CN"/>
              </w:rPr>
              <w:t xml:space="preserve"> </w:t>
            </w:r>
            <w:r w:rsidRPr="00223AA1">
              <w:rPr>
                <w:i/>
                <w:iCs/>
                <w:lang w:eastAsia="zh-CN"/>
              </w:rPr>
              <w:t>sp. 1</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Paratrechina</w:t>
            </w:r>
            <w:r w:rsidR="00923916">
              <w:rPr>
                <w:i/>
                <w:iCs/>
                <w:lang w:eastAsia="zh-CN"/>
              </w:rPr>
              <w:t xml:space="preserve"> </w:t>
            </w:r>
            <w:r w:rsidRPr="00223AA1">
              <w:rPr>
                <w:i/>
                <w:iCs/>
                <w:lang w:eastAsia="zh-CN"/>
              </w:rPr>
              <w:t>sp. 1</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0.033</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0.063</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Paratrechina</w:t>
            </w:r>
            <w:r w:rsidR="00923916">
              <w:rPr>
                <w:i/>
                <w:iCs/>
                <w:lang w:eastAsia="zh-CN"/>
              </w:rPr>
              <w:t xml:space="preserve"> </w:t>
            </w:r>
            <w:r w:rsidRPr="00223AA1">
              <w:rPr>
                <w:i/>
                <w:iCs/>
                <w:lang w:eastAsia="zh-CN"/>
              </w:rPr>
              <w:t>sp. 2</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i/>
                <w:iCs/>
                <w:lang w:eastAsia="zh-CN"/>
              </w:rPr>
              <w:t>Tapinoma melanocephalum</w:t>
            </w: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712" w:type="dxa"/>
            <w:shd w:val="clear" w:color="auto" w:fill="auto"/>
            <w:vAlign w:val="center"/>
            <w:hideMark/>
          </w:tcPr>
          <w:p w:rsidR="00223AA1" w:rsidRPr="00223AA1" w:rsidRDefault="00223AA1" w:rsidP="0011046F">
            <w:pPr>
              <w:pStyle w:val="TableContent"/>
              <w:jc w:val="center"/>
              <w:rPr>
                <w:lang w:eastAsia="zh-CN"/>
              </w:rPr>
            </w:pPr>
          </w:p>
        </w:tc>
        <w:tc>
          <w:tcPr>
            <w:tcW w:w="1697" w:type="dxa"/>
            <w:shd w:val="clear" w:color="auto" w:fill="auto"/>
            <w:vAlign w:val="center"/>
            <w:hideMark/>
          </w:tcPr>
          <w:p w:rsidR="00223AA1" w:rsidRPr="00223AA1" w:rsidRDefault="00223AA1" w:rsidP="0011046F">
            <w:pPr>
              <w:pStyle w:val="TableContent"/>
              <w:jc w:val="center"/>
              <w:rPr>
                <w:lang w:eastAsia="zh-CN"/>
              </w:rPr>
            </w:pPr>
          </w:p>
        </w:tc>
      </w:tr>
      <w:tr w:rsidR="00223AA1" w:rsidRPr="00223AA1" w:rsidTr="00321CE5">
        <w:trPr>
          <w:tblCellSpacing w:w="15" w:type="dxa"/>
          <w:jc w:val="center"/>
        </w:trPr>
        <w:tc>
          <w:tcPr>
            <w:tcW w:w="0" w:type="auto"/>
            <w:shd w:val="clear" w:color="auto" w:fill="auto"/>
            <w:vAlign w:val="center"/>
            <w:hideMark/>
          </w:tcPr>
          <w:p w:rsidR="00223AA1" w:rsidRPr="00223AA1" w:rsidRDefault="00223AA1" w:rsidP="0011046F">
            <w:pPr>
              <w:pStyle w:val="TableContent"/>
              <w:jc w:val="center"/>
              <w:rPr>
                <w:lang w:eastAsia="zh-CN"/>
              </w:rPr>
            </w:pPr>
            <w:r w:rsidRPr="00223AA1">
              <w:rPr>
                <w:lang w:eastAsia="zh-CN"/>
              </w:rPr>
              <w:t>total # of species per site:</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37</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36</w:t>
            </w:r>
          </w:p>
        </w:tc>
        <w:tc>
          <w:tcPr>
            <w:tcW w:w="1712"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16</w:t>
            </w:r>
          </w:p>
        </w:tc>
        <w:tc>
          <w:tcPr>
            <w:tcW w:w="1697" w:type="dxa"/>
            <w:shd w:val="clear" w:color="auto" w:fill="auto"/>
            <w:vAlign w:val="center"/>
            <w:hideMark/>
          </w:tcPr>
          <w:p w:rsidR="00223AA1" w:rsidRPr="00223AA1" w:rsidRDefault="00223AA1" w:rsidP="0011046F">
            <w:pPr>
              <w:pStyle w:val="TableContent"/>
              <w:jc w:val="center"/>
              <w:rPr>
                <w:lang w:eastAsia="zh-CN"/>
              </w:rPr>
            </w:pPr>
            <w:r w:rsidRPr="00223AA1">
              <w:rPr>
                <w:lang w:eastAsia="zh-CN"/>
              </w:rPr>
              <w:t>14</w:t>
            </w:r>
          </w:p>
        </w:tc>
      </w:tr>
    </w:tbl>
    <w:p w:rsidR="00223AA1" w:rsidRDefault="00223AA1" w:rsidP="008E6A8B"/>
    <w:p w:rsidR="001D3722" w:rsidRPr="008E6A8B" w:rsidRDefault="001D3722" w:rsidP="008E6A8B">
      <w:r w:rsidRPr="001D3722">
        <w:lastRenderedPageBreak/>
        <w:t>To calculate Shannon's H for the primary forest site we can use the equation given above:</w:t>
      </w:r>
      <w:r>
        <w:t xml:space="preserve"> </w:t>
      </w:r>
      <w:r w:rsidRPr="001D3722">
        <w:t xml:space="preserve">H = (-1) * (0.117 * ln 0.117) + (0.004 * ln 0.004) + (0.021 * ln 0.021) + (0.004 * ln 0.004) + (0.021 * ln 0.021) + (0.008 * ln 0.008) + (0.058 * ln 0.058) + (0.054 * ln 0.054) + (0.021 * ln 0.021) + (0.004 * ln 0.004) + (0.004 * ln 0.004) + (0.163 * ln 0.163) + (0.004 * ln 0.004) + (0.067 * ln 0.067) + (0.004 * ln 0.004) + (0.017 * ln 0.017) + (0.125 * ln 0.125) + (0.079 * ln 0.079) + (0.050 * ln 0.050) + (0.075 * ln 0.075) + (0.004 * ln 0.004) + (0.004 * ln 0.004) + (0.017 * ln 0.017) + (0.004 * ln 0.004) + (0.004 * ln 0.004) + (0.004 * ln 0.004) + (0.050 * ln 0.050) + (0.004 * ln 0.004) + (0.004 * ln 0.004) + (0.004 * ln 0.004) + (0.004 * ln 0.004) + (0.021 * ln 0.021) + (0.017 * ln 0.017) + (0.008 * ln 0.008) + (0.017 * ln 0.017) + (0.0125 * ln 0.0125) + (0.033 * ln 0.033) = </w:t>
      </w:r>
      <w:r w:rsidRPr="001D3722">
        <w:rPr>
          <w:b/>
        </w:rPr>
        <w:t>3.1823</w:t>
      </w:r>
      <w:r w:rsidRPr="001D3722">
        <w:t>. Evenness is then E</w:t>
      </w:r>
      <w:r w:rsidRPr="00484623">
        <w:rPr>
          <w:vertAlign w:val="subscript"/>
        </w:rPr>
        <w:t>H</w:t>
      </w:r>
      <w:r w:rsidRPr="001D3722">
        <w:t xml:space="preserve"> = 3.1823 / ln 37 = </w:t>
      </w:r>
      <w:r w:rsidRPr="006B0808">
        <w:rPr>
          <w:b/>
        </w:rPr>
        <w:t>0.8813</w:t>
      </w:r>
      <w:r w:rsidRPr="001D3722">
        <w:t xml:space="preserve"> (37 being S, the total number of species at this site). Using the same equations, Shannon's H for the banana plantation is </w:t>
      </w:r>
      <w:r w:rsidRPr="006B0808">
        <w:rPr>
          <w:b/>
        </w:rPr>
        <w:t>0.8322</w:t>
      </w:r>
      <w:r w:rsidRPr="001D3722">
        <w:t>, and E</w:t>
      </w:r>
      <w:r w:rsidRPr="00484623">
        <w:rPr>
          <w:vertAlign w:val="subscript"/>
        </w:rPr>
        <w:t>H</w:t>
      </w:r>
      <w:r w:rsidRPr="001D3722">
        <w:t xml:space="preserve"> = </w:t>
      </w:r>
      <w:r w:rsidRPr="006B0808">
        <w:rPr>
          <w:b/>
        </w:rPr>
        <w:t>0.3153</w:t>
      </w:r>
      <w:r w:rsidRPr="001D3722">
        <w:t>.</w:t>
      </w:r>
    </w:p>
    <w:p w:rsidR="00283F45" w:rsidRDefault="00283F45" w:rsidP="00283F45">
      <w:pPr>
        <w:pStyle w:val="Heading1"/>
      </w:pPr>
      <w:r w:rsidRPr="00283F45">
        <w:t>Interpretation</w:t>
      </w:r>
    </w:p>
    <w:p w:rsidR="008E6A8B" w:rsidRPr="008E6A8B" w:rsidRDefault="007606E5" w:rsidP="008E6A8B">
      <w:r w:rsidRPr="007606E5">
        <w:t xml:space="preserve">We can see from our results that the diversity and evenness in this site from the undisturbed habitat (primary rain forest) are much higher than in the site from the highly disturbed habitat (banana plantation). The primary rain forest not only has a greater number of species present, but the individuals in the community are distributed more equitably among these species. In the banana plantation there are 23 fewer species and over 80% of the individuals belong to one species, </w:t>
      </w:r>
      <w:r w:rsidRPr="00576011">
        <w:rPr>
          <w:i/>
        </w:rPr>
        <w:t>Solenopsis geminata</w:t>
      </w:r>
      <w:r w:rsidRPr="007606E5">
        <w:t xml:space="preserve"> (the most common species in the primary rain forest, on the other hand, makes up about 16% of the community [</w:t>
      </w:r>
      <w:r w:rsidRPr="00576011">
        <w:rPr>
          <w:i/>
        </w:rPr>
        <w:t>Pheidole</w:t>
      </w:r>
      <w:r w:rsidRPr="007606E5">
        <w:t xml:space="preserve"> sp. 15]).</w:t>
      </w:r>
    </w:p>
    <w:p w:rsidR="00283F45" w:rsidRDefault="00283F45" w:rsidP="00283F45">
      <w:pPr>
        <w:pStyle w:val="Heading1"/>
      </w:pPr>
      <w:r>
        <w:t>Conclusion</w:t>
      </w:r>
    </w:p>
    <w:p w:rsidR="008E6A8B" w:rsidRPr="008E6A8B" w:rsidRDefault="008460D1" w:rsidP="008E6A8B">
      <w:r w:rsidRPr="008460D1">
        <w:t>Different levels of disturbance have different effects on ant diversity. If our goal is to preserve biodiversity in a given area, we need to be able to understand how diversity is impacted by different management strategies. Because diversity indices provide more information than simply the number of species present (i.e., they account for some species being rare and others being common), they serve as valuable tools that enable biologists to quantify diversity in a community and describe its numerical structure.</w:t>
      </w:r>
    </w:p>
    <w:p w:rsidR="008E6A8B" w:rsidRDefault="008E6A8B" w:rsidP="00283F45">
      <w:pPr>
        <w:pStyle w:val="Heading1"/>
      </w:pPr>
      <w:r>
        <w:t>Additional Questions</w:t>
      </w:r>
    </w:p>
    <w:p w:rsidR="007142C1" w:rsidRDefault="007142C1" w:rsidP="007142C1">
      <w:r>
        <w:t>1. Calculate H and E</w:t>
      </w:r>
      <w:r w:rsidRPr="0043089E">
        <w:rPr>
          <w:vertAlign w:val="subscript"/>
        </w:rPr>
        <w:t>H</w:t>
      </w:r>
      <w:r>
        <w:t xml:space="preserve"> for both the abandoned and productive cacao plantation sites. Are they more similar to one another or to the more or less disturbed habitats?</w:t>
      </w:r>
    </w:p>
    <w:p w:rsidR="007142C1" w:rsidRDefault="007142C1" w:rsidP="007142C1">
      <w:r>
        <w:t>2. What do you notice about the species compositions of these four habitats (i.e., do most species occur in all four habitats, in only one habitat, etc.)?</w:t>
      </w:r>
    </w:p>
    <w:p w:rsidR="008E6A8B" w:rsidRPr="008E6A8B" w:rsidRDefault="007142C1" w:rsidP="007142C1">
      <w:r w:rsidRPr="00B071B7">
        <w:rPr>
          <w:i/>
        </w:rPr>
        <w:lastRenderedPageBreak/>
        <w:t>Extra credit:</w:t>
      </w:r>
      <w:r>
        <w:t xml:space="preserve"> Calculate </w:t>
      </w:r>
      <w:hyperlink r:id="rId9" w:history="1">
        <w:r w:rsidRPr="00A03109">
          <w:rPr>
            <w:rStyle w:val="Hyperlink"/>
          </w:rPr>
          <w:t>Simpson's</w:t>
        </w:r>
      </w:hyperlink>
      <w:r w:rsidR="00266196">
        <w:t xml:space="preserve"> </w:t>
      </w:r>
      <w:r>
        <w:t>D and E</w:t>
      </w:r>
      <w:r w:rsidRPr="0043089E">
        <w:rPr>
          <w:vertAlign w:val="subscript"/>
        </w:rPr>
        <w:t>D</w:t>
      </w:r>
      <w:r>
        <w:t xml:space="preserve"> for the primary forest and abandoned cacao plantation sites. Do these values lead to the same conclusions drawn from your calculations of Shannon's indices?</w:t>
      </w:r>
    </w:p>
    <w:p w:rsidR="00283F45" w:rsidRDefault="00283F45" w:rsidP="00283F45">
      <w:pPr>
        <w:pStyle w:val="Heading1"/>
      </w:pPr>
      <w:r>
        <w:t>Source</w:t>
      </w:r>
    </w:p>
    <w:p w:rsidR="00B53B66" w:rsidRDefault="00B53B66" w:rsidP="00B53B66">
      <w:r>
        <w:t xml:space="preserve">Begon, M., J. L. Harper, and C. R. Townsend. 1996. </w:t>
      </w:r>
      <w:r w:rsidRPr="00B53B66">
        <w:rPr>
          <w:i/>
        </w:rPr>
        <w:t>Ecology: Individuals, Populations, and Communities, 3rd edition</w:t>
      </w:r>
      <w:r>
        <w:t>. Blackwell Science Ltd., Cambridge, MA.</w:t>
      </w:r>
    </w:p>
    <w:p w:rsidR="00B53B66" w:rsidRDefault="00B53B66" w:rsidP="00B53B66">
      <w:r>
        <w:t xml:space="preserve">Magurran, A. E. 1988. </w:t>
      </w:r>
      <w:r w:rsidRPr="00B53B66">
        <w:rPr>
          <w:i/>
        </w:rPr>
        <w:t>Ecological Diversity and its Measurement</w:t>
      </w:r>
      <w:r>
        <w:t>. Princeton University Press, Princeton, NJ.</w:t>
      </w:r>
    </w:p>
    <w:p w:rsidR="00B53B66" w:rsidRDefault="00B53B66" w:rsidP="00B53B66">
      <w:r>
        <w:t xml:space="preserve">Rosenzweig, M. L. 1995. </w:t>
      </w:r>
      <w:r w:rsidRPr="00B53B66">
        <w:rPr>
          <w:i/>
        </w:rPr>
        <w:t>Species Diversity in Space and Time</w:t>
      </w:r>
      <w:r>
        <w:t>. Cambridge University Press, New York, NY.</w:t>
      </w:r>
    </w:p>
    <w:p w:rsidR="008E6A8B" w:rsidRDefault="00B53B66" w:rsidP="00B53B66">
      <w:r>
        <w:t xml:space="preserve">Roth, D. S., I. Perfecto, and B. Rathcke. 1994. The effects of management systems on ground-foraging ant diversity in Costa Rica. </w:t>
      </w:r>
      <w:r w:rsidRPr="00B53B66">
        <w:rPr>
          <w:i/>
        </w:rPr>
        <w:t>Ecological Applications 4</w:t>
      </w:r>
      <w:r w:rsidRPr="00B53B66">
        <w:t>(3):423</w:t>
      </w:r>
      <w:r>
        <w:t>-436.</w:t>
      </w:r>
    </w:p>
    <w:p w:rsidR="00A207B5" w:rsidRPr="00283F45" w:rsidRDefault="00A207B5" w:rsidP="00283F45">
      <w:pPr>
        <w:pStyle w:val="Heading1"/>
      </w:pPr>
      <w:r w:rsidRPr="00283F45">
        <w:t>About this Resource</w:t>
      </w:r>
    </w:p>
    <w:p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 National Science Foundation Award DUE-9752339 to the University of Tennessee, Knoxville for August 1, 1998 - July 31, 2000. Principal Investigator: Louis J. Gross. Co-Principal Investigators: Beth C. Mullin and Susan E. Riechert.</w:t>
      </w:r>
    </w:p>
    <w:p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A29" w:rsidRDefault="003A7A29" w:rsidP="00A207B5">
      <w:r>
        <w:separator/>
      </w:r>
    </w:p>
  </w:endnote>
  <w:endnote w:type="continuationSeparator" w:id="0">
    <w:p w:rsidR="003A7A29" w:rsidRDefault="003A7A29" w:rsidP="00A207B5">
      <w:r>
        <w:continuationSeparator/>
      </w:r>
    </w:p>
  </w:endnote>
  <w:endnote w:id="1">
    <w:p w:rsidR="00981B9A" w:rsidRDefault="00981B9A" w:rsidP="00A207B5">
      <w:pPr>
        <w:pStyle w:val="EndnoteText"/>
      </w:pPr>
      <w:r>
        <w:rPr>
          <w:rStyle w:val="EndnoteReference"/>
        </w:rPr>
        <w:endnoteRef/>
      </w:r>
      <w:r>
        <w:t xml:space="preserve"> http://www.tiem.utk.edu/~gross/bioed/</w:t>
      </w:r>
    </w:p>
  </w:endnote>
  <w:endnote w:id="2">
    <w:p w:rsidR="00981B9A" w:rsidRDefault="00981B9A" w:rsidP="00A207B5">
      <w:pPr>
        <w:pStyle w:val="EndnoteText"/>
      </w:pPr>
      <w:r>
        <w:rPr>
          <w:rStyle w:val="EndnoteReference"/>
        </w:rPr>
        <w:endnoteRef/>
      </w:r>
      <w:r>
        <w:t xml:space="preserve"> https://qubeshub.org/community/groups/quantbioatcc/</w:t>
      </w:r>
    </w:p>
  </w:endnote>
  <w:endnote w:id="3">
    <w:p w:rsidR="00981B9A" w:rsidRPr="00A207B5" w:rsidRDefault="00981B9A" w:rsidP="00A207B5">
      <w:pPr>
        <w:pStyle w:val="EndnoteText"/>
      </w:pPr>
      <w:r w:rsidRPr="00A207B5">
        <w:rPr>
          <w:rStyle w:val="EndnoteReference"/>
          <w:vertAlign w:val="baseline"/>
        </w:rPr>
        <w:endnoteRef/>
      </w:r>
      <w:r w:rsidRPr="00A207B5">
        <w:t xml:space="preserve"> https://openstax.org/details/books/biology-2e</w:t>
      </w:r>
    </w:p>
  </w:endnote>
  <w:endnote w:id="4">
    <w:p w:rsidR="00981B9A" w:rsidRDefault="00981B9A" w:rsidP="00A207B5">
      <w:pPr>
        <w:pStyle w:val="EndnoteText"/>
      </w:pPr>
      <w:r>
        <w:rPr>
          <w:rStyle w:val="EndnoteReference"/>
        </w:rPr>
        <w:endnoteRef/>
      </w:r>
      <w:r>
        <w:t xml:space="preserve"> </w:t>
      </w:r>
      <w:r w:rsidRPr="00B50C5B">
        <w:t>https://qubeshub.org/qubesresources/publications/</w:t>
      </w:r>
      <w:r w:rsidR="00455A5C">
        <w:t>1059</w:t>
      </w:r>
      <w:bookmarkStart w:id="1" w:name="_GoBack"/>
      <w:bookmarkEnd w:id="1"/>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A29" w:rsidRDefault="003A7A29" w:rsidP="00A207B5">
      <w:r>
        <w:separator/>
      </w:r>
    </w:p>
  </w:footnote>
  <w:footnote w:type="continuationSeparator" w:id="0">
    <w:p w:rsidR="003A7A29" w:rsidRDefault="003A7A29"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CB"/>
    <w:rsid w:val="000D79DD"/>
    <w:rsid w:val="000F72E2"/>
    <w:rsid w:val="0011046F"/>
    <w:rsid w:val="00175103"/>
    <w:rsid w:val="001D3722"/>
    <w:rsid w:val="001E2492"/>
    <w:rsid w:val="00223AA1"/>
    <w:rsid w:val="00266196"/>
    <w:rsid w:val="00283F45"/>
    <w:rsid w:val="002B652A"/>
    <w:rsid w:val="00306619"/>
    <w:rsid w:val="00310EB7"/>
    <w:rsid w:val="00321CE5"/>
    <w:rsid w:val="003607A8"/>
    <w:rsid w:val="00392522"/>
    <w:rsid w:val="003A7A29"/>
    <w:rsid w:val="003C6904"/>
    <w:rsid w:val="00425D8A"/>
    <w:rsid w:val="0043089E"/>
    <w:rsid w:val="00455A5C"/>
    <w:rsid w:val="00484623"/>
    <w:rsid w:val="00530829"/>
    <w:rsid w:val="00575471"/>
    <w:rsid w:val="00576011"/>
    <w:rsid w:val="005824EB"/>
    <w:rsid w:val="00583FB4"/>
    <w:rsid w:val="005C2142"/>
    <w:rsid w:val="005D109B"/>
    <w:rsid w:val="005E12B6"/>
    <w:rsid w:val="00603822"/>
    <w:rsid w:val="00621462"/>
    <w:rsid w:val="00682591"/>
    <w:rsid w:val="006B0808"/>
    <w:rsid w:val="007142C1"/>
    <w:rsid w:val="007606E5"/>
    <w:rsid w:val="00786F24"/>
    <w:rsid w:val="007B4AC4"/>
    <w:rsid w:val="007F0B29"/>
    <w:rsid w:val="0081007A"/>
    <w:rsid w:val="00832ECB"/>
    <w:rsid w:val="008460D1"/>
    <w:rsid w:val="008671FD"/>
    <w:rsid w:val="00893506"/>
    <w:rsid w:val="00897C1E"/>
    <w:rsid w:val="00897E96"/>
    <w:rsid w:val="008A2B2D"/>
    <w:rsid w:val="008E6A8B"/>
    <w:rsid w:val="008E7250"/>
    <w:rsid w:val="00923916"/>
    <w:rsid w:val="00957EAC"/>
    <w:rsid w:val="00981AE8"/>
    <w:rsid w:val="00981B9A"/>
    <w:rsid w:val="009A2021"/>
    <w:rsid w:val="009F2F12"/>
    <w:rsid w:val="00A03109"/>
    <w:rsid w:val="00A1260F"/>
    <w:rsid w:val="00A207B5"/>
    <w:rsid w:val="00A75942"/>
    <w:rsid w:val="00A91969"/>
    <w:rsid w:val="00B071B7"/>
    <w:rsid w:val="00B53B66"/>
    <w:rsid w:val="00BA04FD"/>
    <w:rsid w:val="00BC6C2A"/>
    <w:rsid w:val="00BE3B85"/>
    <w:rsid w:val="00BF0690"/>
    <w:rsid w:val="00C157B8"/>
    <w:rsid w:val="00C574D4"/>
    <w:rsid w:val="00C62130"/>
    <w:rsid w:val="00CB06B2"/>
    <w:rsid w:val="00CD2067"/>
    <w:rsid w:val="00CD3585"/>
    <w:rsid w:val="00DB5A46"/>
    <w:rsid w:val="00DF13E2"/>
    <w:rsid w:val="00E53189"/>
    <w:rsid w:val="00F44E7D"/>
    <w:rsid w:val="00F610C8"/>
    <w:rsid w:val="00FA7FEE"/>
    <w:rsid w:val="00FD4DAF"/>
    <w:rsid w:val="00FE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EE0B7C"/>
  <w15:chartTrackingRefBased/>
  <w15:docId w15:val="{805E9DA6-4DE5-2C4B-B63B-914E93B4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character" w:styleId="Hyperlink">
    <w:name w:val="Hyperlink"/>
    <w:basedOn w:val="DefaultParagraphFont"/>
    <w:uiPriority w:val="99"/>
    <w:unhideWhenUsed/>
    <w:rsid w:val="00682591"/>
    <w:rPr>
      <w:color w:val="0000FF"/>
      <w:u w:val="single"/>
    </w:rPr>
  </w:style>
  <w:style w:type="paragraph" w:styleId="NormalWeb">
    <w:name w:val="Normal (Web)"/>
    <w:basedOn w:val="Normal"/>
    <w:uiPriority w:val="99"/>
    <w:semiHidden/>
    <w:unhideWhenUsed/>
    <w:rsid w:val="00175103"/>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A1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260F"/>
    <w:rPr>
      <w:color w:val="808080"/>
    </w:rPr>
  </w:style>
  <w:style w:type="character" w:styleId="UnresolvedMention">
    <w:name w:val="Unresolved Mention"/>
    <w:basedOn w:val="DefaultParagraphFont"/>
    <w:uiPriority w:val="99"/>
    <w:semiHidden/>
    <w:unhideWhenUsed/>
    <w:rsid w:val="00A03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634987451">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840239532">
      <w:bodyDiv w:val="1"/>
      <w:marLeft w:val="0"/>
      <w:marRight w:val="0"/>
      <w:marTop w:val="0"/>
      <w:marBottom w:val="0"/>
      <w:divBdr>
        <w:top w:val="none" w:sz="0" w:space="0" w:color="auto"/>
        <w:left w:val="none" w:sz="0" w:space="0" w:color="auto"/>
        <w:bottom w:val="none" w:sz="0" w:space="0" w:color="auto"/>
        <w:right w:val="none" w:sz="0" w:space="0" w:color="auto"/>
      </w:divBdr>
    </w:div>
    <w:div w:id="1251701111">
      <w:bodyDiv w:val="1"/>
      <w:marLeft w:val="0"/>
      <w:marRight w:val="0"/>
      <w:marTop w:val="0"/>
      <w:marBottom w:val="0"/>
      <w:divBdr>
        <w:top w:val="none" w:sz="0" w:space="0" w:color="auto"/>
        <w:left w:val="none" w:sz="0" w:space="0" w:color="auto"/>
        <w:bottom w:val="none" w:sz="0" w:space="0" w:color="auto"/>
        <w:right w:val="none" w:sz="0" w:space="0" w:color="auto"/>
      </w:divBdr>
    </w:div>
    <w:div w:id="1591503920">
      <w:bodyDiv w:val="1"/>
      <w:marLeft w:val="0"/>
      <w:marRight w:val="0"/>
      <w:marTop w:val="0"/>
      <w:marBottom w:val="0"/>
      <w:divBdr>
        <w:top w:val="none" w:sz="0" w:space="0" w:color="auto"/>
        <w:left w:val="none" w:sz="0" w:space="0" w:color="auto"/>
        <w:bottom w:val="none" w:sz="0" w:space="0" w:color="auto"/>
        <w:right w:val="none" w:sz="0" w:space="0" w:color="auto"/>
      </w:divBdr>
    </w:div>
    <w:div w:id="1606039205">
      <w:bodyDiv w:val="1"/>
      <w:marLeft w:val="0"/>
      <w:marRight w:val="0"/>
      <w:marTop w:val="0"/>
      <w:marBottom w:val="0"/>
      <w:divBdr>
        <w:top w:val="none" w:sz="0" w:space="0" w:color="auto"/>
        <w:left w:val="none" w:sz="0" w:space="0" w:color="auto"/>
        <w:bottom w:val="none" w:sz="0" w:space="0" w:color="auto"/>
        <w:right w:val="none" w:sz="0" w:space="0" w:color="auto"/>
      </w:divBdr>
    </w:div>
    <w:div w:id="1828400795">
      <w:bodyDiv w:val="1"/>
      <w:marLeft w:val="0"/>
      <w:marRight w:val="0"/>
      <w:marTop w:val="0"/>
      <w:marBottom w:val="0"/>
      <w:divBdr>
        <w:top w:val="none" w:sz="0" w:space="0" w:color="auto"/>
        <w:left w:val="none" w:sz="0" w:space="0" w:color="auto"/>
        <w:bottom w:val="none" w:sz="0" w:space="0" w:color="auto"/>
        <w:right w:val="none" w:sz="0" w:space="0" w:color="auto"/>
      </w:divBdr>
    </w:div>
    <w:div w:id="2068533660">
      <w:bodyDiv w:val="1"/>
      <w:marLeft w:val="0"/>
      <w:marRight w:val="0"/>
      <w:marTop w:val="0"/>
      <w:marBottom w:val="0"/>
      <w:divBdr>
        <w:top w:val="none" w:sz="0" w:space="0" w:color="auto"/>
        <w:left w:val="none" w:sz="0" w:space="0" w:color="auto"/>
        <w:bottom w:val="none" w:sz="0" w:space="0" w:color="auto"/>
        <w:right w:val="none" w:sz="0" w:space="0" w:color="auto"/>
      </w:divBdr>
    </w:div>
    <w:div w:id="20972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tiem.utk.edu/~gross/bioed/bealsmodules/simpsonD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em.utk.edu/~gross/bioed/bealsmodules/simpsonDI.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iem.utk.edu/~gross/bioed/bealsmodules/simpsonD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21</TotalTime>
  <Pages>8</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62</cp:revision>
  <dcterms:created xsi:type="dcterms:W3CDTF">2018-12-31T05:30:00Z</dcterms:created>
  <dcterms:modified xsi:type="dcterms:W3CDTF">2019-02-06T05:01:00Z</dcterms:modified>
</cp:coreProperties>
</file>